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附件1</w:t>
      </w:r>
    </w:p>
    <w:p>
      <w:pPr>
        <w:keepNext w:val="0"/>
        <w:keepLines w:val="0"/>
        <w:pageBreakBefore w:val="0"/>
        <w:widowControl w:val="0"/>
        <w:kinsoku/>
        <w:wordWrap/>
        <w:overflowPunct/>
        <w:topLinePunct w:val="0"/>
        <w:autoSpaceDE w:val="0"/>
        <w:autoSpaceDN w:val="0"/>
        <w:bidi w:val="0"/>
        <w:adjustRightInd w:val="0"/>
        <w:snapToGrid w:val="0"/>
        <w:spacing w:before="317" w:beforeLines="100" w:line="240" w:lineRule="auto"/>
        <w:ind w:left="0" w:leftChars="0" w:right="0" w:rightChars="0" w:firstLine="0" w:firstLineChars="0"/>
        <w:jc w:val="center"/>
        <w:textAlignment w:val="auto"/>
        <w:outlineLvl w:val="9"/>
        <w:rPr>
          <w:rFonts w:hint="eastAsia" w:ascii="Times New Roman" w:hAnsi="Times New Roman" w:eastAsia="仿宋_GB2312" w:cs="宋体"/>
          <w:color w:val="FF0000"/>
          <w:spacing w:val="-20"/>
          <w:kern w:val="0"/>
          <w:sz w:val="44"/>
          <w:szCs w:val="44"/>
          <w:lang w:val="en-US" w:eastAsia="zh-CN"/>
        </w:rPr>
      </w:pPr>
      <w:r>
        <w:rPr>
          <w:rFonts w:hint="eastAsia" w:ascii="Times New Roman" w:hAnsi="Times New Roman" w:eastAsia="宋体" w:cs="宋体"/>
          <w:color w:val="auto"/>
          <w:spacing w:val="-20"/>
          <w:kern w:val="0"/>
          <w:sz w:val="44"/>
          <w:szCs w:val="44"/>
          <w:lang w:val="en-US" w:eastAsia="zh-CN"/>
        </w:rPr>
        <w:t>杭州市企业技术中心申请和复评材料编制要求</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FF0000"/>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参照《国家企业技术中心认定评价工作指南（试行）》（发改办高技〔2016〕937号）和《制造业企业技术中心评价规范》（DB33/T 2105—2018），杭州市企业技术中心申请和复评材料应包括以下内容：承诺书、评价运行情况表</w:t>
      </w:r>
      <w:r>
        <w:rPr>
          <w:rFonts w:hint="eastAsia" w:ascii="仿宋_GB2312" w:hAnsi="仿宋_GB2312" w:eastAsia="仿宋_GB2312" w:cs="仿宋_GB2312"/>
          <w:color w:val="auto"/>
          <w:kern w:val="0"/>
          <w:sz w:val="32"/>
          <w:szCs w:val="32"/>
          <w:lang w:val="en-US" w:eastAsia="zh-CN"/>
        </w:rPr>
        <w:t>、申请报告或工作总结报告（申请认定企业编写申请报告，参加复评企业编写工作总结报告）、必要证明材料等。具体要求如下：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lang w:val="en-US" w:eastAsia="zh-CN"/>
        </w:rPr>
        <w:t>一、承诺书</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企业需对</w:t>
      </w:r>
      <w:r>
        <w:rPr>
          <w:rFonts w:hint="eastAsia" w:ascii="Times New Roman" w:hAnsi="Times New Roman" w:eastAsia="仿宋_GB2312" w:cs="仿宋_GB2312"/>
          <w:kern w:val="0"/>
          <w:sz w:val="32"/>
          <w:szCs w:val="32"/>
        </w:rPr>
        <w:t>报送</w:t>
      </w:r>
      <w:r>
        <w:rPr>
          <w:rFonts w:hint="eastAsia" w:ascii="Times New Roman" w:hAnsi="Times New Roman" w:eastAsia="仿宋_GB2312" w:cs="仿宋_GB2312"/>
          <w:kern w:val="0"/>
          <w:sz w:val="32"/>
          <w:szCs w:val="32"/>
          <w:lang w:val="en-US" w:eastAsia="zh-CN"/>
        </w:rPr>
        <w:t>材料</w:t>
      </w:r>
      <w:r>
        <w:rPr>
          <w:rFonts w:hint="eastAsia" w:ascii="Times New Roman" w:hAnsi="Times New Roman" w:eastAsia="仿宋_GB2312" w:cs="仿宋_GB2312"/>
          <w:kern w:val="0"/>
          <w:sz w:val="32"/>
          <w:szCs w:val="32"/>
        </w:rPr>
        <w:t>的真实性、</w:t>
      </w:r>
      <w:r>
        <w:rPr>
          <w:rFonts w:hint="eastAsia" w:ascii="Times New Roman" w:hAnsi="Times New Roman" w:eastAsia="仿宋_GB2312" w:cs="仿宋_GB2312"/>
          <w:kern w:val="0"/>
          <w:sz w:val="32"/>
          <w:szCs w:val="32"/>
          <w:lang w:val="en-US" w:eastAsia="zh-CN"/>
        </w:rPr>
        <w:t>有效性和</w:t>
      </w:r>
      <w:r>
        <w:rPr>
          <w:rFonts w:hint="eastAsia" w:ascii="Times New Roman" w:hAnsi="Times New Roman" w:eastAsia="仿宋_GB2312" w:cs="仿宋_GB2312"/>
          <w:kern w:val="0"/>
          <w:sz w:val="32"/>
          <w:szCs w:val="32"/>
        </w:rPr>
        <w:t>完整性</w:t>
      </w:r>
      <w:r>
        <w:rPr>
          <w:rFonts w:hint="eastAsia" w:ascii="Times New Roman" w:hAnsi="Times New Roman" w:eastAsia="仿宋_GB2312" w:cs="仿宋_GB2312"/>
          <w:kern w:val="0"/>
          <w:sz w:val="32"/>
          <w:szCs w:val="32"/>
          <w:lang w:val="en-US" w:eastAsia="zh-CN"/>
        </w:rPr>
        <w:t>进行承诺。参考样式如下：</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仿宋_GB2312"/>
          <w:kern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44"/>
          <w:szCs w:val="44"/>
        </w:rPr>
      </w:pPr>
      <w:r>
        <w:rPr>
          <w:rFonts w:hint="eastAsia" w:ascii="黑体" w:hAnsi="黑体" w:eastAsia="黑体" w:cs="黑体"/>
          <w:sz w:val="44"/>
          <w:szCs w:val="44"/>
        </w:rPr>
        <w:t>承诺书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仿宋_GB2312"/>
          <w:kern w:val="0"/>
          <w:sz w:val="32"/>
          <w:szCs w:val="32"/>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本单位郑重承诺，在杭州市企业技术中心评价材料中所填报数据和提交材料（申请书及有关附件）均真实有效，对评价材料实质内容的真实性负责。如有不实，愿承担包括法律责任在内的一切责任和后果。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 xml:space="preserve">单位名称（盖章）：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560" w:firstLineChars="8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 xml:space="preserve">法人代表（签字）：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_GB2312" w:cs="仿宋_GB2312"/>
          <w:kern w:val="0"/>
          <w:sz w:val="32"/>
          <w:szCs w:val="32"/>
          <w:lang w:val="en-US" w:eastAsia="zh-CN"/>
        </w:rPr>
      </w:pPr>
      <w:r>
        <w:rPr>
          <w:rFonts w:hint="default" w:ascii="Times New Roman" w:hAnsi="Times New Roman" w:eastAsia="仿宋_GB2312" w:cs="仿宋_GB2312"/>
          <w:kern w:val="0"/>
          <w:sz w:val="32"/>
          <w:szCs w:val="32"/>
          <w:lang w:val="en-US" w:eastAsia="zh-CN"/>
        </w:rPr>
        <w:t xml:space="preserve">    </w:t>
      </w:r>
      <w:r>
        <w:rPr>
          <w:rFonts w:hint="eastAsia" w:ascii="Times New Roman" w:hAnsi="Times New Roman" w:eastAsia="仿宋_GB2312" w:cs="仿宋_GB2312"/>
          <w:kern w:val="0"/>
          <w:sz w:val="32"/>
          <w:szCs w:val="32"/>
          <w:lang w:val="en-US" w:eastAsia="zh-CN"/>
        </w:rPr>
        <w:t>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黑体"/>
          <w:kern w:val="0"/>
          <w:sz w:val="32"/>
          <w:szCs w:val="32"/>
          <w:lang w:val="en-US" w:eastAsia="zh-CN"/>
        </w:rPr>
      </w:pPr>
      <w:r>
        <w:rPr>
          <w:rFonts w:hint="eastAsia" w:ascii="Times New Roman" w:hAnsi="Times New Roman" w:eastAsia="黑体" w:cs="黑体"/>
          <w:kern w:val="0"/>
          <w:sz w:val="32"/>
          <w:szCs w:val="32"/>
          <w:lang w:val="en-US" w:eastAsia="zh-CN"/>
        </w:rPr>
        <w:t>二、评价运行情况表</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rPr>
        <w:t>杭州市企业技术中心</w:t>
      </w:r>
      <w:r>
        <w:rPr>
          <w:rFonts w:hint="eastAsia" w:hAnsi="宋体" w:eastAsia="宋体" w:cs="宋体"/>
          <w:b/>
          <w:bCs/>
          <w:sz w:val="32"/>
          <w:szCs w:val="32"/>
          <w:lang w:eastAsia="zh-CN"/>
        </w:rPr>
        <w:t>评价</w:t>
      </w:r>
      <w:r>
        <w:rPr>
          <w:rFonts w:hint="eastAsia" w:ascii="宋体" w:hAnsi="宋体" w:eastAsia="宋体" w:cs="宋体"/>
          <w:b/>
          <w:bCs/>
          <w:sz w:val="32"/>
          <w:szCs w:val="32"/>
        </w:rPr>
        <w:t>运行情况表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762"/>
        <w:gridCol w:w="1205"/>
        <w:gridCol w:w="1755"/>
        <w:gridCol w:w="148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企业名称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olor w:val="000000"/>
                <w:sz w:val="24"/>
                <w:lang w:eastAsia="zh-CN"/>
              </w:rPr>
            </w:pPr>
            <w:r>
              <w:rPr>
                <w:rFonts w:hint="eastAsia" w:ascii="Times New Roman" w:hAnsi="Times New Roman"/>
                <w:color w:val="000000"/>
                <w:sz w:val="24"/>
                <w:lang w:eastAsia="zh-CN"/>
              </w:rPr>
              <w:t>（盖章）</w:t>
            </w:r>
          </w:p>
        </w:tc>
        <w:tc>
          <w:tcPr>
            <w:tcW w:w="801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通讯地址</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cs="宋体"/>
                <w:color w:val="000000"/>
                <w:kern w:val="0"/>
                <w:sz w:val="24"/>
                <w:lang w:eastAsia="zh-CN"/>
              </w:rPr>
            </w:pPr>
            <w:r>
              <w:rPr>
                <w:rFonts w:hint="eastAsia" w:ascii="Times New Roman" w:hAnsi="Times New Roman" w:cs="宋体"/>
                <w:color w:val="000000"/>
                <w:kern w:val="0"/>
                <w:sz w:val="24"/>
                <w:lang w:eastAsia="zh-CN"/>
              </w:rPr>
              <w:t>所属区、县（市）</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统一社会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信用代码</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是否高新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宋体"/>
                <w:color w:val="000000"/>
                <w:kern w:val="0"/>
                <w:sz w:val="24"/>
              </w:rPr>
            </w:pPr>
            <w:r>
              <w:rPr>
                <w:rFonts w:hint="eastAsia" w:ascii="Times New Roman" w:hAnsi="Times New Roman"/>
                <w:color w:val="000000"/>
                <w:sz w:val="24"/>
              </w:rPr>
              <w:t>技术企业</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主营业务</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r>
              <w:rPr>
                <w:rFonts w:hint="eastAsia" w:ascii="Times New Roman" w:hAnsi="Times New Roman" w:cs="宋体"/>
                <w:color w:val="000000"/>
                <w:kern w:val="0"/>
                <w:sz w:val="24"/>
              </w:rPr>
              <w:t>所属行业</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企业负责人</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2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手机号码</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办公室电话</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中心负责人</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2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手机号码</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办公室电话</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联系人</w:t>
            </w:r>
          </w:p>
        </w:tc>
        <w:tc>
          <w:tcPr>
            <w:tcW w:w="1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2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手机号码</w:t>
            </w:r>
          </w:p>
        </w:tc>
        <w:tc>
          <w:tcPr>
            <w:tcW w:w="17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办公室电话</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电子邮箱</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r>
              <w:rPr>
                <w:rFonts w:hint="eastAsia" w:ascii="Times New Roman" w:hAnsi="Times New Roman" w:cs="宋体"/>
                <w:color w:val="000000"/>
                <w:kern w:val="0"/>
                <w:sz w:val="24"/>
              </w:rPr>
              <w:t>传真号码</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企业网址</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r>
              <w:rPr>
                <w:rFonts w:hint="eastAsia" w:ascii="Times New Roman" w:hAnsi="Times New Roman" w:cs="宋体"/>
                <w:color w:val="000000"/>
                <w:kern w:val="0"/>
                <w:sz w:val="24"/>
              </w:rPr>
              <w:t>报告年度</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宋体"/>
                <w:color w:val="000000"/>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b/>
                <w:color w:val="000000"/>
                <w:kern w:val="0"/>
                <w:sz w:val="24"/>
              </w:rPr>
            </w:pPr>
            <w:r>
              <w:rPr>
                <w:rFonts w:hint="eastAsia" w:ascii="Times New Roman" w:hAnsi="Times New Roman" w:cs="宋体"/>
                <w:b/>
                <w:color w:val="000000"/>
                <w:kern w:val="0"/>
                <w:sz w:val="24"/>
              </w:rPr>
              <w:t>序号</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b/>
                <w:color w:val="000000"/>
                <w:kern w:val="0"/>
                <w:sz w:val="24"/>
              </w:rPr>
            </w:pPr>
            <w:r>
              <w:rPr>
                <w:rFonts w:hint="eastAsia" w:ascii="Times New Roman" w:hAnsi="Times New Roman" w:cs="宋体"/>
                <w:b/>
                <w:color w:val="000000"/>
                <w:kern w:val="0"/>
                <w:sz w:val="24"/>
              </w:rPr>
              <w:t>指标名称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b/>
                <w:color w:val="000000"/>
                <w:kern w:val="0"/>
                <w:sz w:val="24"/>
              </w:rPr>
            </w:pPr>
            <w:r>
              <w:rPr>
                <w:rFonts w:hint="eastAsia" w:ascii="Times New Roman" w:hAnsi="Times New Roman" w:cs="宋体"/>
                <w:b/>
                <w:color w:val="000000"/>
                <w:kern w:val="0"/>
                <w:sz w:val="24"/>
              </w:rPr>
              <w:t>单位</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b/>
                <w:color w:val="000000"/>
                <w:kern w:val="0"/>
                <w:sz w:val="24"/>
              </w:rPr>
            </w:pPr>
            <w:r>
              <w:rPr>
                <w:rFonts w:hint="eastAsia" w:ascii="Times New Roman" w:hAnsi="Times New Roman" w:cs="宋体"/>
                <w:b/>
                <w:color w:val="000000"/>
                <w:kern w:val="0"/>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主营业务收入</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2</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研究与试验发展经费支出额</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其中：合作研发经费支出额</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3</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研究与试验发展人员数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4</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技术中心人数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5</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技术中心大学本科及以上学历和中级及以上职称人数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6</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技术中心高级职称和博士人数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7</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技术中心职工年收入总额</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8</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新产品销售收入</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9</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新产品销售利润</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10</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利润总额</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11</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企业职工总数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12</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企业全体职工年收入总额</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s="宋体"/>
                <w:b/>
                <w:color w:val="000000"/>
                <w:kern w:val="0"/>
                <w:sz w:val="24"/>
              </w:rPr>
              <w:t>序号</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s="宋体"/>
                <w:b/>
                <w:color w:val="000000"/>
                <w:kern w:val="0"/>
                <w:sz w:val="24"/>
              </w:rPr>
              <w:t>指标名称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s="宋体"/>
                <w:b/>
                <w:color w:val="000000"/>
                <w:kern w:val="0"/>
                <w:sz w:val="24"/>
              </w:rPr>
              <w:t>单位</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r>
              <w:rPr>
                <w:rFonts w:hint="eastAsia" w:ascii="Times New Roman" w:hAnsi="Times New Roman" w:cs="宋体"/>
                <w:b/>
                <w:color w:val="000000"/>
                <w:kern w:val="0"/>
                <w:sz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13</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cs="宋体"/>
                <w:color w:val="000000"/>
                <w:sz w:val="24"/>
              </w:rPr>
            </w:pPr>
            <w:r>
              <w:rPr>
                <w:rFonts w:hint="eastAsia" w:ascii="Times New Roman" w:hAnsi="Times New Roman"/>
                <w:color w:val="000000"/>
                <w:sz w:val="24"/>
              </w:rPr>
              <w:t>来技术中心从事研发工作的外部专家数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人月</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14</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企业拥有的全部有效专利数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其中：企业拥有的全部有效发明专利数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15</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近三年被受理的专利申请数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sz w:val="24"/>
              </w:rPr>
            </w:pP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其中：近三年被受理的发明专利申请数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16</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企业全部研发项目数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17</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企业拥有的其它类型研发机构数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个</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18</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企业技术开发仪器设备原值</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19</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近三年企业信息化建设投入</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20</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通过省、国家（国际组织）及认证的实验室和检测机构数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个</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21</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auto"/>
                <w:sz w:val="24"/>
                <w:lang w:val="en-US" w:eastAsia="zh-CN"/>
              </w:rPr>
              <w:t>近三年</w:t>
            </w:r>
            <w:r>
              <w:rPr>
                <w:rFonts w:hint="eastAsia" w:ascii="Times New Roman" w:hAnsi="Times New Roman"/>
                <w:color w:val="auto"/>
                <w:sz w:val="24"/>
              </w:rPr>
              <w:t>获得市级及以上自然科学、技术发明、科技进步奖项目数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22</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主持和参加制定的全部有效期内国际、国家、行业、地方、团体标准数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其中：近三年主持和参加制定的标准数</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项</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sz w:val="24"/>
              </w:rPr>
            </w:pPr>
            <w:r>
              <w:rPr>
                <w:rFonts w:hint="eastAsia" w:ascii="Times New Roman" w:hAnsi="Times New Roman"/>
                <w:color w:val="000000"/>
                <w:sz w:val="24"/>
              </w:rPr>
              <w:t>23</w:t>
            </w:r>
          </w:p>
        </w:tc>
        <w:tc>
          <w:tcPr>
            <w:tcW w:w="47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cs="宋体"/>
                <w:color w:val="000000"/>
                <w:sz w:val="24"/>
              </w:rPr>
            </w:pPr>
            <w:r>
              <w:rPr>
                <w:rFonts w:hint="eastAsia" w:ascii="Times New Roman" w:hAnsi="Times New Roman"/>
                <w:color w:val="000000"/>
                <w:sz w:val="24"/>
              </w:rPr>
              <w:t>技术服务收入</w:t>
            </w:r>
          </w:p>
        </w:tc>
        <w:tc>
          <w:tcPr>
            <w:tcW w:w="14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color w:val="000000"/>
                <w:sz w:val="24"/>
              </w:rPr>
            </w:pPr>
            <w:r>
              <w:rPr>
                <w:rFonts w:hint="eastAsia" w:ascii="Times New Roman" w:hAnsi="Times New Roman"/>
                <w:color w:val="000000"/>
                <w:sz w:val="24"/>
              </w:rPr>
              <w:t>万元</w:t>
            </w:r>
          </w:p>
        </w:tc>
        <w:tc>
          <w:tcPr>
            <w:tcW w:w="18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exact"/>
          <w:jc w:val="center"/>
        </w:trPr>
        <w:tc>
          <w:tcPr>
            <w:tcW w:w="94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r>
              <w:rPr>
                <w:rFonts w:hint="eastAsia" w:ascii="Times New Roman" w:hAnsi="Times New Roman" w:cs="宋体"/>
                <w:color w:val="000000"/>
                <w:kern w:val="0"/>
                <w:sz w:val="24"/>
              </w:rPr>
              <w:t>区、县（市）</w:t>
            </w:r>
            <w:r>
              <w:rPr>
                <w:rFonts w:hint="eastAsia" w:ascii="Times New Roman" w:hAnsi="Times New Roman" w:cs="宋体"/>
                <w:color w:val="000000"/>
                <w:kern w:val="0"/>
                <w:sz w:val="24"/>
                <w:lang w:eastAsia="zh-CN"/>
              </w:rPr>
              <w:t>经</w:t>
            </w:r>
            <w:r>
              <w:rPr>
                <w:rFonts w:hint="eastAsia" w:ascii="Times New Roman" w:hAnsi="Times New Roman" w:cs="宋体"/>
                <w:color w:val="000000"/>
                <w:kern w:val="0"/>
                <w:sz w:val="24"/>
              </w:rPr>
              <w:t>信主管</w:t>
            </w:r>
            <w:r>
              <w:rPr>
                <w:rFonts w:hint="eastAsia" w:ascii="Times New Roman" w:hAnsi="Times New Roman" w:cs="宋体"/>
                <w:color w:val="000000"/>
                <w:kern w:val="0"/>
                <w:sz w:val="24"/>
                <w:lang w:eastAsia="zh-CN"/>
              </w:rPr>
              <w:t>部门</w:t>
            </w:r>
            <w:r>
              <w:rPr>
                <w:rFonts w:hint="eastAsia" w:ascii="Times New Roman" w:hAnsi="Times New Roman" w:cs="宋体"/>
                <w:color w:val="000000"/>
                <w:kern w:val="0"/>
                <w:sz w:val="24"/>
              </w:rPr>
              <w:t>意见：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r>
              <w:rPr>
                <w:rFonts w:hint="eastAsia" w:ascii="Times New Roman" w:hAnsi="Times New Roman" w:cs="宋体"/>
                <w:color w:val="000000"/>
                <w:kern w:val="0"/>
                <w:sz w:val="24"/>
              </w:rPr>
              <w:t xml:space="preserve">                    区、县（市）</w:t>
            </w:r>
            <w:r>
              <w:rPr>
                <w:rFonts w:hint="eastAsia" w:ascii="Times New Roman" w:hAnsi="Times New Roman" w:cs="宋体"/>
                <w:color w:val="000000"/>
                <w:kern w:val="0"/>
                <w:sz w:val="24"/>
                <w:lang w:eastAsia="zh-CN"/>
              </w:rPr>
              <w:t>经</w:t>
            </w:r>
            <w:r>
              <w:rPr>
                <w:rFonts w:hint="eastAsia" w:ascii="Times New Roman" w:hAnsi="Times New Roman" w:cs="宋体"/>
                <w:color w:val="000000"/>
                <w:kern w:val="0"/>
                <w:sz w:val="24"/>
              </w:rPr>
              <w:t>信主管部门（盖章）：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r>
              <w:rPr>
                <w:rFonts w:hint="eastAsia" w:ascii="Times New Roman" w:hAnsi="Times New Roman" w:cs="宋体"/>
                <w:color w:val="000000"/>
                <w:kern w:val="0"/>
                <w:sz w:val="24"/>
              </w:rPr>
              <w:t xml:space="preserve">                                 </w:t>
            </w:r>
            <w:r>
              <w:rPr>
                <w:rFonts w:hint="eastAsia" w:ascii="Times New Roman" w:hAnsi="Times New Roman" w:cs="宋体"/>
                <w:color w:val="000000"/>
                <w:kern w:val="0"/>
                <w:sz w:val="24"/>
                <w:lang w:val="en-US" w:eastAsia="zh-CN"/>
              </w:rPr>
              <w:t xml:space="preserve">    </w:t>
            </w:r>
            <w:r>
              <w:rPr>
                <w:rFonts w:hint="eastAsia" w:ascii="Times New Roman" w:hAnsi="Times New Roman" w:cs="宋体"/>
                <w:color w:val="000000"/>
                <w:kern w:val="0"/>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948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cs="宋体"/>
                <w:color w:val="000000"/>
                <w:kern w:val="0"/>
                <w:sz w:val="24"/>
              </w:rPr>
            </w:pPr>
            <w:r>
              <w:rPr>
                <w:rFonts w:hint="eastAsia" w:ascii="Times New Roman" w:hAnsi="Times New Roman" w:cs="宋体"/>
                <w:color w:val="000000"/>
                <w:kern w:val="0"/>
                <w:sz w:val="24"/>
              </w:rPr>
              <w:t>其它说明：</w:t>
            </w:r>
          </w:p>
          <w:p>
            <w:pPr>
              <w:keepNext w:val="0"/>
              <w:keepLines w:val="0"/>
              <w:pageBreakBefore w:val="0"/>
              <w:widowControl w:val="0"/>
              <w:kinsoku/>
              <w:wordWrap/>
              <w:overflowPunct/>
              <w:topLinePunct w:val="0"/>
              <w:autoSpaceDE/>
              <w:autoSpaceDN/>
              <w:bidi w:val="0"/>
              <w:adjustRightInd/>
              <w:snapToGrid/>
              <w:spacing w:after="159" w:afterLines="50" w:line="400" w:lineRule="exact"/>
              <w:jc w:val="left"/>
              <w:textAlignment w:val="auto"/>
              <w:rPr>
                <w:rFonts w:hint="eastAsia" w:ascii="Times New Roman" w:hAnsi="Times New Roman" w:cs="宋体"/>
                <w:color w:val="000000"/>
                <w:kern w:val="0"/>
                <w:sz w:val="24"/>
              </w:rPr>
            </w:pPr>
          </w:p>
        </w:tc>
      </w:tr>
    </w:tbl>
    <w:p>
      <w:pPr>
        <w:keepNext w:val="0"/>
        <w:keepLines w:val="0"/>
        <w:pageBreakBefore w:val="0"/>
        <w:widowControl w:val="0"/>
        <w:kinsoku/>
        <w:wordWrap/>
        <w:overflowPunct/>
        <w:topLinePunct w:val="0"/>
        <w:autoSpaceDE/>
        <w:autoSpaceDN/>
        <w:bidi w:val="0"/>
        <w:adjustRightInd w:val="0"/>
        <w:snapToGrid w:val="0"/>
        <w:spacing w:before="100" w:line="340" w:lineRule="exact"/>
        <w:ind w:left="0" w:leftChars="0" w:right="0" w:rightChars="0" w:firstLine="0" w:firstLineChars="0"/>
        <w:jc w:val="left"/>
        <w:textAlignment w:val="auto"/>
        <w:outlineLvl w:val="9"/>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1</w:t>
      </w:r>
      <w:r>
        <w:rPr>
          <w:rFonts w:hint="eastAsia" w:ascii="宋体" w:hAnsi="宋体" w:eastAsia="宋体" w:cs="宋体"/>
          <w:color w:val="000000"/>
          <w:kern w:val="0"/>
          <w:sz w:val="24"/>
          <w:szCs w:val="24"/>
          <w:lang w:val="en-US"/>
        </w:rPr>
        <w:t>.</w:t>
      </w:r>
      <w:r>
        <w:rPr>
          <w:rFonts w:hint="eastAsia" w:ascii="宋体" w:hAnsi="宋体" w:eastAsia="宋体" w:cs="宋体"/>
          <w:color w:val="000000"/>
          <w:kern w:val="0"/>
          <w:sz w:val="24"/>
          <w:szCs w:val="24"/>
        </w:rPr>
        <w:t>此表印鉴须与填写企业名称一致</w:t>
      </w:r>
      <w:r>
        <w:rPr>
          <w:rFonts w:hint="eastAsia" w:ascii="宋体" w:hAnsi="宋体" w:eastAsia="宋体" w:cs="宋体"/>
          <w:color w:val="000000"/>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 xml:space="preserve">   2.</w:t>
      </w:r>
      <w:r>
        <w:rPr>
          <w:rFonts w:hint="eastAsia" w:ascii="宋体" w:hAnsi="宋体" w:eastAsia="宋体" w:cs="宋体"/>
          <w:color w:val="auto"/>
          <w:kern w:val="0"/>
          <w:sz w:val="24"/>
          <w:szCs w:val="24"/>
          <w:lang w:val="en-US" w:eastAsia="zh-CN"/>
        </w:rPr>
        <w:t>所属行业：对照《国民经济行业分类与代码》（GB/T 4754-2017）、《国民经济行业分类注释》（</w:t>
      </w:r>
      <w:r>
        <w:rPr>
          <w:rFonts w:hint="eastAsia" w:ascii="宋体" w:hAnsi="宋体" w:eastAsia="宋体" w:cs="宋体"/>
          <w:i w:val="0"/>
          <w:iCs w:val="0"/>
          <w:caps w:val="0"/>
          <w:color w:val="auto"/>
          <w:spacing w:val="0"/>
          <w:sz w:val="24"/>
          <w:szCs w:val="24"/>
          <w:shd w:val="clear" w:color="auto" w:fill="FFFFFF"/>
        </w:rPr>
        <w:t>国统办设管字〔</w:t>
      </w:r>
      <w:r>
        <w:rPr>
          <w:rFonts w:hint="eastAsia" w:ascii="宋体" w:hAnsi="宋体" w:eastAsia="宋体" w:cs="宋体"/>
          <w:i w:val="0"/>
          <w:iCs w:val="0"/>
          <w:caps w:val="0"/>
          <w:color w:val="auto"/>
          <w:spacing w:val="0"/>
          <w:sz w:val="24"/>
          <w:szCs w:val="24"/>
          <w:shd w:val="clear" w:color="auto" w:fill="FFFFFF"/>
          <w:lang w:val="en-US"/>
        </w:rPr>
        <w:t>2018</w:t>
      </w:r>
      <w:r>
        <w:rPr>
          <w:rFonts w:hint="eastAsia" w:ascii="宋体" w:hAnsi="宋体" w:eastAsia="宋体" w:cs="宋体"/>
          <w:i w:val="0"/>
          <w:iCs w:val="0"/>
          <w:caps w:val="0"/>
          <w:color w:val="auto"/>
          <w:spacing w:val="0"/>
          <w:sz w:val="24"/>
          <w:szCs w:val="24"/>
          <w:shd w:val="clear" w:color="auto" w:fill="FFFFFF"/>
        </w:rPr>
        <w:t>〕</w:t>
      </w:r>
      <w:r>
        <w:rPr>
          <w:rFonts w:hint="eastAsia" w:ascii="宋体" w:hAnsi="宋体" w:eastAsia="宋体" w:cs="宋体"/>
          <w:i w:val="0"/>
          <w:iCs w:val="0"/>
          <w:caps w:val="0"/>
          <w:color w:val="auto"/>
          <w:spacing w:val="0"/>
          <w:sz w:val="24"/>
          <w:szCs w:val="24"/>
          <w:shd w:val="clear" w:color="auto" w:fill="FFFFFF"/>
          <w:lang w:val="en-US"/>
        </w:rPr>
        <w:t>93</w:t>
      </w:r>
      <w:r>
        <w:rPr>
          <w:rFonts w:hint="eastAsia" w:ascii="宋体" w:hAnsi="宋体" w:eastAsia="宋体" w:cs="宋体"/>
          <w:i w:val="0"/>
          <w:iCs w:val="0"/>
          <w:caps w:val="0"/>
          <w:color w:val="auto"/>
          <w:spacing w:val="0"/>
          <w:sz w:val="24"/>
          <w:szCs w:val="24"/>
          <w:shd w:val="clear" w:color="auto" w:fill="FFFFFF"/>
        </w:rPr>
        <w:t>号</w:t>
      </w:r>
      <w:r>
        <w:rPr>
          <w:rFonts w:hint="eastAsia" w:ascii="宋体" w:hAnsi="宋体" w:eastAsia="宋体" w:cs="宋体"/>
          <w:color w:val="auto"/>
          <w:kern w:val="0"/>
          <w:sz w:val="24"/>
          <w:szCs w:val="24"/>
          <w:lang w:val="en-US" w:eastAsia="zh-CN"/>
        </w:rPr>
        <w:t>）填报；</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FF0000"/>
          <w:kern w:val="0"/>
          <w:sz w:val="32"/>
          <w:szCs w:val="32"/>
          <w:lang w:val="en-US"/>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3</w:t>
      </w:r>
      <w:r>
        <w:rPr>
          <w:rFonts w:hint="eastAsia" w:ascii="宋体" w:hAnsi="宋体" w:eastAsia="宋体" w:cs="宋体"/>
          <w:color w:val="000000"/>
          <w:kern w:val="0"/>
          <w:sz w:val="24"/>
          <w:szCs w:val="24"/>
          <w:lang w:val="en-US"/>
        </w:rPr>
        <w:t>.</w:t>
      </w:r>
      <w:r>
        <w:rPr>
          <w:rFonts w:hint="eastAsia" w:ascii="宋体" w:hAnsi="宋体" w:eastAsia="宋体" w:cs="宋体"/>
          <w:color w:val="000000"/>
          <w:kern w:val="0"/>
          <w:sz w:val="24"/>
          <w:szCs w:val="24"/>
        </w:rPr>
        <w:t>报告年度：</w:t>
      </w:r>
      <w:r>
        <w:rPr>
          <w:rFonts w:hint="eastAsia" w:ascii="宋体" w:hAnsi="宋体" w:eastAsia="宋体" w:cs="宋体"/>
          <w:color w:val="000000"/>
          <w:kern w:val="0"/>
          <w:sz w:val="24"/>
          <w:szCs w:val="24"/>
          <w:lang w:eastAsia="zh-CN"/>
        </w:rPr>
        <w:t>指相关</w:t>
      </w:r>
      <w:r>
        <w:rPr>
          <w:rFonts w:hint="eastAsia" w:ascii="宋体" w:hAnsi="宋体" w:eastAsia="宋体" w:cs="宋体"/>
          <w:color w:val="000000"/>
          <w:kern w:val="0"/>
          <w:sz w:val="24"/>
          <w:szCs w:val="24"/>
        </w:rPr>
        <w:t>指标</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统计年度，时间范围从填写</w:t>
      </w:r>
      <w:r>
        <w:rPr>
          <w:rFonts w:hint="eastAsia" w:ascii="宋体" w:hAnsi="宋体" w:eastAsia="宋体" w:cs="宋体"/>
          <w:color w:val="000000"/>
          <w:kern w:val="0"/>
          <w:sz w:val="24"/>
          <w:szCs w:val="24"/>
          <w:lang w:eastAsia="zh-CN"/>
        </w:rPr>
        <w:t>评价</w:t>
      </w:r>
      <w:r>
        <w:rPr>
          <w:rFonts w:hint="eastAsia" w:ascii="宋体" w:hAnsi="宋体" w:eastAsia="宋体" w:cs="宋体"/>
          <w:color w:val="000000"/>
          <w:kern w:val="0"/>
          <w:sz w:val="24"/>
          <w:szCs w:val="24"/>
        </w:rPr>
        <w:t>运行情况表的上一年1月1日至12月31日</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无特殊说明</w:t>
      </w:r>
      <w:r>
        <w:rPr>
          <w:rFonts w:hint="eastAsia" w:ascii="宋体" w:hAnsi="宋体" w:eastAsia="宋体" w:cs="宋体"/>
          <w:color w:val="000000"/>
          <w:kern w:val="0"/>
          <w:sz w:val="24"/>
          <w:szCs w:val="24"/>
          <w:lang w:eastAsia="zh-CN"/>
        </w:rPr>
        <w:t>时，所</w:t>
      </w:r>
      <w:r>
        <w:rPr>
          <w:rFonts w:hint="eastAsia" w:ascii="宋体" w:hAnsi="宋体" w:eastAsia="宋体" w:cs="宋体"/>
          <w:color w:val="000000"/>
          <w:kern w:val="0"/>
          <w:sz w:val="24"/>
          <w:szCs w:val="24"/>
        </w:rPr>
        <w:t>填报指标</w:t>
      </w:r>
      <w:r>
        <w:rPr>
          <w:rFonts w:hint="eastAsia" w:ascii="宋体" w:hAnsi="宋体" w:eastAsia="宋体" w:cs="宋体"/>
          <w:color w:val="000000"/>
          <w:kern w:val="0"/>
          <w:sz w:val="24"/>
          <w:szCs w:val="24"/>
          <w:lang w:eastAsia="zh-CN"/>
        </w:rPr>
        <w:t>的</w:t>
      </w:r>
      <w:r>
        <w:rPr>
          <w:rFonts w:hint="eastAsia" w:ascii="宋体" w:hAnsi="宋体" w:eastAsia="宋体" w:cs="宋体"/>
          <w:color w:val="000000"/>
          <w:kern w:val="0"/>
          <w:sz w:val="24"/>
          <w:szCs w:val="24"/>
        </w:rPr>
        <w:t>时间范围均为报告年度。</w:t>
      </w:r>
    </w:p>
    <w:p>
      <w:pPr>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黑体"/>
          <w:b/>
          <w:snapToGrid w:val="0"/>
          <w:spacing w:val="0"/>
          <w:kern w:val="0"/>
          <w:sz w:val="32"/>
          <w:szCs w:val="32"/>
          <w:lang w:eastAsia="zh-CN"/>
        </w:rPr>
      </w:pPr>
      <w:r>
        <w:rPr>
          <w:rFonts w:hint="eastAsia" w:ascii="Times New Roman" w:hAnsi="Times New Roman" w:eastAsia="黑体" w:cs="仿宋_GB2312"/>
          <w:kern w:val="0"/>
          <w:sz w:val="32"/>
          <w:szCs w:val="32"/>
          <w:lang w:val="en-US" w:eastAsia="zh-CN"/>
        </w:rPr>
        <w:br w:type="page"/>
      </w:r>
      <w:r>
        <w:rPr>
          <w:rFonts w:hint="eastAsia" w:ascii="Times New Roman" w:hAnsi="Times New Roman" w:eastAsia="黑体" w:cs="仿宋_GB2312"/>
          <w:snapToGrid w:val="0"/>
          <w:spacing w:val="0"/>
          <w:kern w:val="0"/>
          <w:sz w:val="32"/>
          <w:szCs w:val="32"/>
          <w:lang w:val="en-US" w:eastAsia="zh-CN"/>
        </w:rPr>
        <w:t>三</w:t>
      </w:r>
      <w:r>
        <w:rPr>
          <w:rFonts w:hint="eastAsia" w:ascii="Times New Roman" w:hAnsi="Times New Roman" w:eastAsia="黑体" w:cs="仿宋_GB2312"/>
          <w:snapToGrid w:val="0"/>
          <w:spacing w:val="0"/>
          <w:kern w:val="0"/>
          <w:sz w:val="32"/>
          <w:szCs w:val="32"/>
        </w:rPr>
        <w:t>、</w:t>
      </w:r>
      <w:r>
        <w:rPr>
          <w:rFonts w:hint="eastAsia" w:ascii="Times New Roman" w:hAnsi="Times New Roman" w:eastAsia="黑体"/>
          <w:snapToGrid w:val="0"/>
          <w:spacing w:val="0"/>
          <w:kern w:val="0"/>
          <w:sz w:val="32"/>
          <w:szCs w:val="32"/>
        </w:rPr>
        <w:t>申请报告编写提纲</w:t>
      </w:r>
      <w:r>
        <w:rPr>
          <w:rFonts w:hint="eastAsia" w:ascii="Times New Roman" w:hAnsi="Times New Roman" w:eastAsia="黑体"/>
          <w:snapToGrid w:val="0"/>
          <w:spacing w:val="0"/>
          <w:kern w:val="0"/>
          <w:sz w:val="32"/>
          <w:szCs w:val="32"/>
          <w:lang w:eastAsia="zh-CN"/>
        </w:rPr>
        <w:t>（新认定）</w:t>
      </w:r>
    </w:p>
    <w:p>
      <w:pPr>
        <w:pStyle w:val="6"/>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（一）企业的地位和作用</w:t>
      </w:r>
    </w:p>
    <w:p>
      <w:pPr>
        <w:pStyle w:val="6"/>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1.企业基本情况。包括所有制性质、主要投资企业，职工人数、企业总资产、资产负债率、银行信用等级、销售收入、利润、主导产品及市场占有率等。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2.企业的行业地位和竞争力。结合行业细分领域和企业在行业中的综合排序，分析企业在本行业的领先地位和竞争优势，与国内外同行业企业相比所具有的规模、技术和市场等方面优势。</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3.企业对本行业技术创新的引领作用。主要是企业通过行业技术进步对结构调整、节能减排、资源节约综合利用等方面的示范和带动作用。</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（二）企业技术创新的现状和成绩</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20" w:firstLineChars="200"/>
        <w:jc w:val="both"/>
        <w:textAlignment w:val="auto"/>
        <w:outlineLvl w:val="9"/>
        <w:rPr>
          <w:rFonts w:hint="eastAsia" w:ascii="仿宋_GB2312" w:hAnsi="仿宋_GB2312" w:eastAsia="仿宋_GB2312" w:cs="仿宋_GB2312"/>
          <w:snapToGrid w:val="0"/>
          <w:spacing w:val="-5"/>
          <w:kern w:val="0"/>
          <w:sz w:val="32"/>
          <w:szCs w:val="32"/>
        </w:rPr>
      </w:pPr>
      <w:r>
        <w:rPr>
          <w:rFonts w:hint="eastAsia" w:ascii="仿宋_GB2312" w:hAnsi="仿宋_GB2312" w:eastAsia="仿宋_GB2312" w:cs="仿宋_GB2312"/>
          <w:snapToGrid w:val="0"/>
          <w:spacing w:val="-5"/>
          <w:kern w:val="0"/>
          <w:sz w:val="32"/>
          <w:szCs w:val="32"/>
        </w:rPr>
        <w:t>1.企业技术中心基本情况。包括企业技术中心的组织架构和运行机制，组织管理体系建设、规章制度建立、研发项目管理、研发经费使用、人才引进培养和激励、知识产权发展、技术服务等。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2.企业技术中心创新资源整合情况。包括企业技术中心技术带头人及创新团队建设情况、研发经费投入情况、研究开发和试验基础条件建设情况、信息化建设情况等。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3.企业技术中心研究开发工作开展情况。包括原始性创新、集成创新、引进消化吸收再创新、产学研合作等。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4.企业技术中心取得的主要创新成果和经济社会效益。包括形成的核心技术（重大产品创新、工艺创新、商业模式创新）、自主知识产权情况（企业已获得有效专利、当年被受理的专利、主持或参加制定的国际、国家和行业标准、发表论文情况等）、主要创新成果的经济和社会效益。</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（三）企业技术创新战略和规划</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1.企业制定未来5</w:t>
      </w:r>
      <w:r>
        <w:rPr>
          <w:rFonts w:hint="eastAsia" w:ascii="仿宋_GB2312" w:hAnsi="仿宋_GB2312" w:eastAsia="仿宋_GB2312" w:cs="仿宋_GB2312"/>
          <w:snapToGrid w:val="0"/>
          <w:spacing w:val="0"/>
          <w:kern w:val="0"/>
          <w:sz w:val="32"/>
          <w:szCs w:val="32"/>
          <w:lang w:val="en-US" w:eastAsia="zh-CN"/>
        </w:rPr>
        <w:t>-</w:t>
      </w:r>
      <w:r>
        <w:rPr>
          <w:rFonts w:hint="eastAsia" w:ascii="仿宋_GB2312" w:hAnsi="仿宋_GB2312" w:eastAsia="仿宋_GB2312" w:cs="仿宋_GB2312"/>
          <w:snapToGrid w:val="0"/>
          <w:spacing w:val="0"/>
          <w:kern w:val="0"/>
          <w:sz w:val="32"/>
          <w:szCs w:val="32"/>
        </w:rPr>
        <w:t>10年技术创新发展战略情况，及该战略对企业总体发展目标的支撑情况。</w:t>
      </w:r>
    </w:p>
    <w:p>
      <w:pPr>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rPr>
        <w:t>2.企业近期在技术创新方面拟实施的重点举措，包括技术发展目标、创新条件建设、创新人才集聚、重点研发项目等方面工作的部署和安排等。</w:t>
      </w:r>
    </w:p>
    <w:p>
      <w:pPr>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黑体"/>
          <w:snapToGrid w:val="0"/>
          <w:spacing w:val="0"/>
          <w:kern w:val="0"/>
          <w:sz w:val="32"/>
          <w:szCs w:val="32"/>
          <w:lang w:eastAsia="zh-CN"/>
        </w:rPr>
      </w:pPr>
      <w:r>
        <w:rPr>
          <w:rFonts w:hint="eastAsia" w:ascii="Times New Roman" w:hAnsi="Times New Roman" w:eastAsia="黑体" w:cs="宋体"/>
          <w:snapToGrid w:val="0"/>
          <w:spacing w:val="0"/>
          <w:kern w:val="0"/>
          <w:sz w:val="32"/>
          <w:szCs w:val="32"/>
          <w:lang w:val="en-US" w:eastAsia="zh-CN"/>
        </w:rPr>
        <w:t>四</w:t>
      </w:r>
      <w:r>
        <w:rPr>
          <w:rFonts w:hint="eastAsia" w:ascii="Times New Roman" w:hAnsi="Times New Roman" w:eastAsia="黑体" w:cs="宋体"/>
          <w:snapToGrid w:val="0"/>
          <w:spacing w:val="0"/>
          <w:kern w:val="0"/>
          <w:sz w:val="32"/>
          <w:szCs w:val="32"/>
        </w:rPr>
        <w:t>、</w:t>
      </w:r>
      <w:r>
        <w:rPr>
          <w:rFonts w:hint="eastAsia" w:ascii="Times New Roman" w:hAnsi="Times New Roman" w:eastAsia="黑体"/>
          <w:snapToGrid w:val="0"/>
          <w:spacing w:val="0"/>
          <w:kern w:val="0"/>
          <w:sz w:val="32"/>
          <w:szCs w:val="32"/>
        </w:rPr>
        <w:t>工作总结报告编写提纲</w:t>
      </w:r>
      <w:r>
        <w:rPr>
          <w:rFonts w:hint="eastAsia" w:ascii="Times New Roman" w:hAnsi="Times New Roman" w:eastAsia="黑体"/>
          <w:snapToGrid w:val="0"/>
          <w:spacing w:val="0"/>
          <w:kern w:val="0"/>
          <w:sz w:val="32"/>
          <w:szCs w:val="32"/>
          <w:lang w:eastAsia="zh-CN"/>
        </w:rPr>
        <w:t>（复评）</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（一）企业在行业中的地位和作用</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rPr>
        <w:t>分析企业所在行业领域的技术创新现状和发展趋势，总结企业近三年的经营管理情况，阐述企业主营业务以及企业在该领域中的竞争优势。</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（二）企业技术创新战略的制定与实施</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lang w:eastAsia="zh-CN"/>
        </w:rPr>
        <w:t>包括</w:t>
      </w:r>
      <w:r>
        <w:rPr>
          <w:rFonts w:hint="eastAsia" w:ascii="Times New Roman" w:hAnsi="Times New Roman" w:eastAsia="仿宋_GB2312" w:cs="宋体"/>
          <w:snapToGrid w:val="0"/>
          <w:spacing w:val="0"/>
          <w:kern w:val="0"/>
          <w:sz w:val="32"/>
          <w:szCs w:val="32"/>
        </w:rPr>
        <w:t>近三年内企业技术创新战略的制定与调整，年度计划的制定与实施（涉及企业秘密可作技术处理）。</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（三）企业技术创新体系的建设与运行</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28" w:firstLineChars="200"/>
        <w:jc w:val="both"/>
        <w:textAlignment w:val="auto"/>
        <w:outlineLvl w:val="9"/>
        <w:rPr>
          <w:rFonts w:hint="eastAsia" w:ascii="Times New Roman" w:hAnsi="Times New Roman" w:eastAsia="仿宋_GB2312" w:cs="宋体"/>
          <w:snapToGrid w:val="0"/>
          <w:spacing w:val="-3"/>
          <w:kern w:val="0"/>
          <w:sz w:val="32"/>
          <w:szCs w:val="32"/>
        </w:rPr>
      </w:pPr>
      <w:r>
        <w:rPr>
          <w:rFonts w:hint="eastAsia" w:ascii="Times New Roman" w:hAnsi="Times New Roman" w:eastAsia="仿宋_GB2312" w:cs="宋体"/>
          <w:snapToGrid w:val="0"/>
          <w:spacing w:val="-3"/>
          <w:kern w:val="0"/>
          <w:sz w:val="32"/>
          <w:szCs w:val="32"/>
          <w:lang w:eastAsia="zh-CN"/>
        </w:rPr>
        <w:t>包括</w:t>
      </w:r>
      <w:r>
        <w:rPr>
          <w:rFonts w:hint="eastAsia" w:ascii="Times New Roman" w:hAnsi="Times New Roman" w:eastAsia="仿宋_GB2312" w:cs="宋体"/>
          <w:snapToGrid w:val="0"/>
          <w:spacing w:val="-3"/>
          <w:kern w:val="0"/>
          <w:sz w:val="32"/>
          <w:szCs w:val="32"/>
        </w:rPr>
        <w:t>近三年内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合作、企业合作及国际合作）、企业技术创新基础设施建设（研究试验设施、检测设施、信息化设施）。</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（四）企业技术创新活动开展</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lang w:eastAsia="zh-CN"/>
        </w:rPr>
        <w:t>包括</w:t>
      </w:r>
      <w:r>
        <w:rPr>
          <w:rFonts w:hint="eastAsia" w:ascii="Times New Roman" w:hAnsi="Times New Roman" w:eastAsia="仿宋_GB2312" w:cs="宋体"/>
          <w:snapToGrid w:val="0"/>
          <w:spacing w:val="0"/>
          <w:kern w:val="0"/>
          <w:sz w:val="32"/>
          <w:szCs w:val="32"/>
        </w:rPr>
        <w:t>近三年内企业年度重点创新项目的实施效果、关键核心技术掌握程度和产品的自主创新情况、资源综合利用、节能降耗、清洁生产等创新情况。</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（五）企业技术创新成果</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rPr>
        <w:t>技术中心近三年取得的主要创新成果及其对企业核心竞争力提升的支撑作用，包括核心技术及自主知识产权情况，如相关专利和标准的编写等。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b w:val="0"/>
          <w:bCs/>
          <w:snapToGrid w:val="0"/>
          <w:spacing w:val="0"/>
          <w:kern w:val="0"/>
          <w:sz w:val="32"/>
          <w:szCs w:val="32"/>
        </w:rPr>
      </w:pPr>
      <w:r>
        <w:rPr>
          <w:rFonts w:hint="eastAsia" w:ascii="Times New Roman" w:hAnsi="Times New Roman" w:eastAsia="楷体_GB2312"/>
          <w:b w:val="0"/>
          <w:bCs/>
          <w:snapToGrid w:val="0"/>
          <w:spacing w:val="0"/>
          <w:kern w:val="0"/>
          <w:sz w:val="32"/>
          <w:szCs w:val="32"/>
        </w:rPr>
        <w:t>（六）企业信息化建设情况</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lang w:eastAsia="zh-CN"/>
        </w:rPr>
        <w:t>包括</w:t>
      </w:r>
      <w:r>
        <w:rPr>
          <w:rFonts w:hint="eastAsia" w:ascii="Times New Roman" w:hAnsi="Times New Roman" w:eastAsia="仿宋_GB2312" w:cs="宋体"/>
          <w:snapToGrid w:val="0"/>
          <w:spacing w:val="0"/>
          <w:kern w:val="0"/>
          <w:sz w:val="32"/>
          <w:szCs w:val="32"/>
        </w:rPr>
        <w:t>企业近三年在信息化建设方面的投入情况，运用信息化手段提高企业生产、经营、管理效率的情况等。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cs="黑体"/>
          <w:b w:val="0"/>
          <w:bCs/>
          <w:snapToGrid w:val="0"/>
          <w:color w:val="000000"/>
          <w:spacing w:val="0"/>
          <w:kern w:val="0"/>
          <w:sz w:val="32"/>
          <w:szCs w:val="32"/>
          <w:lang w:val="en-US" w:eastAsia="zh-CN" w:bidi="ar-SA"/>
        </w:rPr>
      </w:pPr>
      <w:r>
        <w:rPr>
          <w:rFonts w:hint="eastAsia" w:ascii="Times New Roman" w:hAnsi="Times New Roman" w:eastAsia="楷体_GB2312" w:cs="黑体"/>
          <w:b w:val="0"/>
          <w:bCs/>
          <w:snapToGrid w:val="0"/>
          <w:color w:val="000000"/>
          <w:spacing w:val="0"/>
          <w:kern w:val="0"/>
          <w:sz w:val="32"/>
          <w:szCs w:val="32"/>
          <w:lang w:val="en-US" w:eastAsia="zh-CN" w:bidi="ar-SA"/>
        </w:rPr>
        <w:t>（七）其他有特色的工作情况</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spacing w:val="0"/>
          <w:kern w:val="0"/>
          <w:sz w:val="32"/>
          <w:szCs w:val="32"/>
        </w:rPr>
      </w:pPr>
      <w:r>
        <w:rPr>
          <w:rFonts w:hint="eastAsia" w:ascii="Times New Roman" w:hAnsi="Times New Roman" w:eastAsia="仿宋_GB2312" w:cs="宋体"/>
          <w:snapToGrid w:val="0"/>
          <w:spacing w:val="0"/>
          <w:kern w:val="0"/>
          <w:sz w:val="32"/>
          <w:szCs w:val="32"/>
        </w:rPr>
        <w:t>结合企业自身情况，对前文未提及的技术创新特色工作进行介绍，包括工作概况、进度、成效等。</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黑体" w:hAnsi="黑体" w:eastAsia="黑体" w:cs="黑体"/>
          <w:snapToGrid w:val="0"/>
          <w:spacing w:val="0"/>
          <w:kern w:val="0"/>
          <w:sz w:val="32"/>
          <w:szCs w:val="32"/>
          <w:lang w:val="en-US" w:eastAsia="zh-CN"/>
        </w:rPr>
      </w:pPr>
      <w:r>
        <w:rPr>
          <w:rFonts w:hint="eastAsia" w:ascii="黑体" w:hAnsi="黑体" w:eastAsia="黑体" w:cs="黑体"/>
          <w:snapToGrid w:val="0"/>
          <w:spacing w:val="0"/>
          <w:kern w:val="0"/>
          <w:sz w:val="32"/>
          <w:szCs w:val="32"/>
          <w:lang w:val="en-US" w:eastAsia="zh-CN"/>
        </w:rPr>
        <w:t>五、</w:t>
      </w:r>
      <w:r>
        <w:rPr>
          <w:rFonts w:hint="eastAsia" w:hAnsi="黑体" w:cs="黑体"/>
          <w:snapToGrid w:val="0"/>
          <w:spacing w:val="0"/>
          <w:kern w:val="0"/>
          <w:sz w:val="32"/>
          <w:szCs w:val="32"/>
          <w:lang w:val="en-US" w:eastAsia="zh-CN"/>
        </w:rPr>
        <w:t>必要证明</w:t>
      </w:r>
      <w:r>
        <w:rPr>
          <w:rFonts w:hint="eastAsia" w:ascii="黑体" w:hAnsi="黑体" w:eastAsia="黑体" w:cs="黑体"/>
          <w:snapToGrid w:val="0"/>
          <w:spacing w:val="0"/>
          <w:kern w:val="0"/>
          <w:sz w:val="32"/>
          <w:szCs w:val="32"/>
          <w:lang w:val="en-US" w:eastAsia="zh-CN"/>
        </w:rPr>
        <w:t>材料</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default" w:ascii="Times New Roman" w:hAnsi="Times New Roman" w:eastAsia="楷体_GB2312" w:cs="黑体"/>
          <w:b w:val="0"/>
          <w:bCs/>
          <w:snapToGrid w:val="0"/>
          <w:color w:val="000000"/>
          <w:spacing w:val="0"/>
          <w:kern w:val="0"/>
          <w:sz w:val="32"/>
          <w:szCs w:val="32"/>
          <w:lang w:val="en-US" w:eastAsia="zh-CN" w:bidi="ar-SA"/>
        </w:rPr>
      </w:pPr>
      <w:r>
        <w:rPr>
          <w:rFonts w:hint="eastAsia" w:ascii="Times New Roman" w:hAnsi="Times New Roman" w:eastAsia="楷体_GB2312" w:cs="黑体"/>
          <w:b w:val="0"/>
          <w:bCs/>
          <w:snapToGrid w:val="0"/>
          <w:color w:val="000000"/>
          <w:spacing w:val="0"/>
          <w:kern w:val="0"/>
          <w:sz w:val="32"/>
          <w:szCs w:val="32"/>
          <w:lang w:val="en-US" w:eastAsia="zh-CN" w:bidi="ar-SA"/>
        </w:rPr>
        <w:t>（一）企业资质证明材料</w:t>
      </w:r>
    </w:p>
    <w:p>
      <w:pPr>
        <w:pStyle w:val="6"/>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default" w:ascii="Times New Roman" w:hAnsi="Times New Roman" w:eastAsia="楷体_GB2312" w:cs="黑体"/>
          <w:b w:val="0"/>
          <w:bCs/>
          <w:snapToGrid w:val="0"/>
          <w:color w:val="auto"/>
          <w:spacing w:val="0"/>
          <w:kern w:val="0"/>
          <w:sz w:val="32"/>
          <w:szCs w:val="32"/>
          <w:lang w:val="en-US" w:eastAsia="zh-CN" w:bidi="ar-SA"/>
        </w:rPr>
      </w:pPr>
      <w:r>
        <w:rPr>
          <w:rFonts w:hint="eastAsia" w:ascii="Times New Roman" w:hAnsi="Times New Roman" w:eastAsia="仿宋_GB2312" w:cs="仿宋_GB2312"/>
          <w:snapToGrid w:val="0"/>
          <w:color w:val="auto"/>
          <w:spacing w:val="0"/>
          <w:kern w:val="0"/>
          <w:sz w:val="32"/>
          <w:szCs w:val="32"/>
          <w:lang w:val="en-US" w:eastAsia="zh-CN"/>
        </w:rPr>
        <w:t>企业需提供营业执照复印件，并适情提供国家高新技术企业证书复印件。</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cs="黑体"/>
          <w:b w:val="0"/>
          <w:bCs/>
          <w:snapToGrid w:val="0"/>
          <w:color w:val="000000"/>
          <w:spacing w:val="0"/>
          <w:kern w:val="0"/>
          <w:sz w:val="32"/>
          <w:szCs w:val="32"/>
          <w:lang w:val="en-US" w:eastAsia="zh-CN" w:bidi="ar-SA"/>
        </w:rPr>
      </w:pPr>
      <w:r>
        <w:rPr>
          <w:rFonts w:hint="eastAsia" w:ascii="Times New Roman" w:hAnsi="Times New Roman" w:eastAsia="楷体_GB2312" w:cs="黑体"/>
          <w:b w:val="0"/>
          <w:bCs/>
          <w:snapToGrid w:val="0"/>
          <w:color w:val="000000"/>
          <w:spacing w:val="0"/>
          <w:kern w:val="0"/>
          <w:sz w:val="32"/>
          <w:szCs w:val="32"/>
          <w:lang w:val="en-US" w:eastAsia="zh-CN" w:bidi="ar-SA"/>
        </w:rPr>
        <w:t>（二）研发项目情况和研发活动及相关情况</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lang w:eastAsia="zh-CN"/>
        </w:rPr>
      </w:pPr>
      <w:r>
        <w:rPr>
          <w:rFonts w:hint="eastAsia" w:ascii="仿宋_GB2312" w:hAnsi="仿宋_GB2312" w:eastAsia="仿宋_GB2312" w:cs="仿宋_GB2312"/>
          <w:snapToGrid w:val="0"/>
          <w:spacing w:val="0"/>
          <w:kern w:val="0"/>
          <w:sz w:val="32"/>
          <w:szCs w:val="32"/>
        </w:rPr>
        <w:t>规模以上工业法人单位</w:t>
      </w:r>
      <w:r>
        <w:rPr>
          <w:rFonts w:hint="eastAsia" w:ascii="仿宋_GB2312" w:hAnsi="仿宋_GB2312" w:eastAsia="仿宋_GB2312" w:cs="仿宋_GB2312"/>
          <w:snapToGrid w:val="0"/>
          <w:spacing w:val="0"/>
          <w:kern w:val="0"/>
          <w:sz w:val="32"/>
          <w:szCs w:val="32"/>
          <w:lang w:eastAsia="zh-CN"/>
        </w:rPr>
        <w:t>的</w:t>
      </w:r>
      <w:r>
        <w:rPr>
          <w:rFonts w:hint="eastAsia" w:ascii="仿宋_GB2312" w:hAnsi="仿宋_GB2312" w:eastAsia="仿宋_GB2312" w:cs="仿宋_GB2312"/>
          <w:snapToGrid w:val="0"/>
          <w:spacing w:val="0"/>
          <w:kern w:val="0"/>
          <w:sz w:val="32"/>
          <w:szCs w:val="32"/>
          <w:lang w:val="en-US" w:eastAsia="zh-CN"/>
        </w:rPr>
        <w:t>研发</w:t>
      </w:r>
      <w:r>
        <w:rPr>
          <w:rFonts w:hint="eastAsia" w:ascii="仿宋_GB2312" w:hAnsi="仿宋_GB2312" w:eastAsia="仿宋_GB2312" w:cs="仿宋_GB2312"/>
          <w:snapToGrid w:val="0"/>
          <w:spacing w:val="0"/>
          <w:kern w:val="0"/>
          <w:sz w:val="32"/>
          <w:szCs w:val="32"/>
        </w:rPr>
        <w:t>项目情况（</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-1表）</w:t>
      </w:r>
      <w:r>
        <w:rPr>
          <w:rFonts w:hint="eastAsia" w:ascii="仿宋_GB2312" w:hAnsi="仿宋_GB2312" w:eastAsia="仿宋_GB2312" w:cs="仿宋_GB2312"/>
          <w:snapToGrid w:val="0"/>
          <w:spacing w:val="0"/>
          <w:kern w:val="0"/>
          <w:sz w:val="32"/>
          <w:szCs w:val="32"/>
          <w:lang w:eastAsia="zh-CN"/>
        </w:rPr>
        <w:t>和</w:t>
      </w:r>
      <w:r>
        <w:rPr>
          <w:rFonts w:hint="eastAsia" w:ascii="仿宋_GB2312" w:hAnsi="仿宋_GB2312" w:eastAsia="仿宋_GB2312" w:cs="仿宋_GB2312"/>
          <w:snapToGrid w:val="0"/>
          <w:spacing w:val="0"/>
          <w:kern w:val="0"/>
          <w:sz w:val="32"/>
          <w:szCs w:val="32"/>
        </w:rPr>
        <w:t>研发活动及相关情况（</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-2表），须加盖企业公章</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未列入国家统计局规模以上工业法人单位研发活动情况统计范围的企业，应参照上述表格格式填报后提交。大型企业集团应将</w:t>
      </w:r>
      <w:r>
        <w:rPr>
          <w:rFonts w:hint="eastAsia" w:ascii="仿宋_GB2312" w:hAnsi="仿宋_GB2312" w:eastAsia="仿宋_GB2312" w:cs="仿宋_GB2312"/>
          <w:snapToGrid w:val="0"/>
          <w:spacing w:val="0"/>
          <w:kern w:val="0"/>
          <w:sz w:val="32"/>
          <w:szCs w:val="32"/>
          <w:lang w:val="en-US" w:eastAsia="zh-CN"/>
        </w:rPr>
        <w:t>其</w:t>
      </w:r>
      <w:r>
        <w:rPr>
          <w:rFonts w:hint="eastAsia" w:ascii="仿宋_GB2312" w:hAnsi="仿宋_GB2312" w:eastAsia="仿宋_GB2312" w:cs="仿宋_GB2312"/>
          <w:snapToGrid w:val="0"/>
          <w:spacing w:val="0"/>
          <w:kern w:val="0"/>
          <w:sz w:val="32"/>
          <w:szCs w:val="32"/>
        </w:rPr>
        <w:t>主营业务相关下属企业（包括分公司、子公司和控股公司）的</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-1表、</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-2表合并填报。</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-1表、</w:t>
      </w:r>
      <w:r>
        <w:rPr>
          <w:rFonts w:hint="eastAsia" w:ascii="仿宋_GB2312" w:hAnsi="仿宋_GB2312" w:eastAsia="仿宋_GB2312" w:cs="仿宋_GB2312"/>
          <w:snapToGrid w:val="0"/>
          <w:spacing w:val="0"/>
          <w:kern w:val="0"/>
          <w:sz w:val="32"/>
          <w:szCs w:val="32"/>
          <w:lang w:val="en-US" w:eastAsia="zh-CN"/>
        </w:rPr>
        <w:t>107</w:t>
      </w:r>
      <w:r>
        <w:rPr>
          <w:rFonts w:hint="eastAsia" w:ascii="仿宋_GB2312" w:hAnsi="仿宋_GB2312" w:eastAsia="仿宋_GB2312" w:cs="仿宋_GB2312"/>
          <w:snapToGrid w:val="0"/>
          <w:spacing w:val="0"/>
          <w:kern w:val="0"/>
          <w:sz w:val="32"/>
          <w:szCs w:val="32"/>
        </w:rPr>
        <w:t>-2表</w:t>
      </w:r>
      <w:r>
        <w:rPr>
          <w:rFonts w:hint="eastAsia" w:ascii="仿宋_GB2312" w:hAnsi="仿宋_GB2312" w:eastAsia="仿宋_GB2312" w:cs="仿宋_GB2312"/>
          <w:snapToGrid w:val="0"/>
          <w:spacing w:val="0"/>
          <w:kern w:val="0"/>
          <w:sz w:val="32"/>
          <w:szCs w:val="32"/>
          <w:lang w:eastAsia="zh-CN"/>
        </w:rPr>
        <w:t>参照国家相关部门最新要求执行。</w:t>
      </w:r>
    </w:p>
    <w:p>
      <w:pPr>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楷体_GB2312" w:cs="黑体"/>
          <w:b w:val="0"/>
          <w:bCs/>
          <w:snapToGrid w:val="0"/>
          <w:color w:val="000000"/>
          <w:spacing w:val="0"/>
          <w:kern w:val="0"/>
          <w:sz w:val="32"/>
          <w:szCs w:val="32"/>
          <w:lang w:val="en-US" w:eastAsia="zh-CN" w:bidi="ar-SA"/>
        </w:rPr>
      </w:pPr>
      <w:r>
        <w:rPr>
          <w:rFonts w:hint="eastAsia" w:ascii="Times New Roman" w:hAnsi="Times New Roman" w:eastAsia="楷体_GB2312" w:cs="黑体"/>
          <w:b w:val="0"/>
          <w:bCs/>
          <w:snapToGrid w:val="0"/>
          <w:color w:val="000000"/>
          <w:spacing w:val="0"/>
          <w:kern w:val="0"/>
          <w:sz w:val="32"/>
          <w:szCs w:val="32"/>
          <w:lang w:val="en-US" w:eastAsia="zh-CN" w:bidi="ar-SA"/>
        </w:rPr>
        <w:t>（三）年度审计报告</w:t>
      </w:r>
    </w:p>
    <w:p>
      <w:pPr>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snapToGrid w:val="0"/>
          <w:spacing w:val="0"/>
          <w:kern w:val="0"/>
          <w:sz w:val="32"/>
          <w:szCs w:val="32"/>
        </w:rPr>
      </w:pPr>
      <w:r>
        <w:rPr>
          <w:rFonts w:hint="eastAsia" w:ascii="仿宋_GB2312" w:hAnsi="仿宋_GB2312" w:eastAsia="仿宋_GB2312" w:cs="仿宋_GB2312"/>
          <w:snapToGrid w:val="0"/>
          <w:spacing w:val="0"/>
          <w:kern w:val="0"/>
          <w:sz w:val="32"/>
          <w:szCs w:val="32"/>
          <w:lang w:val="en-US" w:eastAsia="zh-CN"/>
        </w:rPr>
        <w:t>2022年度</w:t>
      </w:r>
      <w:r>
        <w:rPr>
          <w:rFonts w:hint="eastAsia" w:ascii="仿宋_GB2312" w:hAnsi="仿宋_GB2312" w:eastAsia="仿宋_GB2312" w:cs="仿宋_GB2312"/>
          <w:snapToGrid w:val="0"/>
          <w:spacing w:val="0"/>
          <w:kern w:val="0"/>
          <w:sz w:val="32"/>
          <w:szCs w:val="32"/>
        </w:rPr>
        <w:t>审计报告</w:t>
      </w:r>
      <w:r>
        <w:rPr>
          <w:rFonts w:hint="eastAsia" w:ascii="仿宋_GB2312" w:hAnsi="仿宋_GB2312" w:eastAsia="仿宋_GB2312" w:cs="仿宋_GB2312"/>
          <w:snapToGrid w:val="0"/>
          <w:spacing w:val="0"/>
          <w:kern w:val="0"/>
          <w:sz w:val="32"/>
          <w:szCs w:val="32"/>
          <w:lang w:eastAsia="zh-CN"/>
        </w:rPr>
        <w:t>，</w:t>
      </w:r>
      <w:r>
        <w:rPr>
          <w:rFonts w:hint="eastAsia" w:ascii="仿宋_GB2312" w:hAnsi="仿宋_GB2312" w:eastAsia="仿宋_GB2312" w:cs="仿宋_GB2312"/>
          <w:snapToGrid w:val="0"/>
          <w:spacing w:val="0"/>
          <w:kern w:val="0"/>
          <w:sz w:val="32"/>
          <w:szCs w:val="32"/>
        </w:rPr>
        <w:t>包括</w:t>
      </w:r>
      <w:r>
        <w:rPr>
          <w:rFonts w:hint="eastAsia" w:ascii="仿宋_GB2312" w:hAnsi="仿宋_GB2312" w:eastAsia="仿宋_GB2312" w:cs="仿宋_GB2312"/>
          <w:snapToGrid w:val="0"/>
          <w:spacing w:val="0"/>
          <w:kern w:val="0"/>
          <w:sz w:val="32"/>
          <w:szCs w:val="32"/>
          <w:lang w:eastAsia="zh-CN"/>
        </w:rPr>
        <w:t>企业</w:t>
      </w:r>
      <w:r>
        <w:rPr>
          <w:rFonts w:hint="eastAsia" w:ascii="仿宋_GB2312" w:hAnsi="仿宋_GB2312" w:eastAsia="仿宋_GB2312" w:cs="仿宋_GB2312"/>
          <w:snapToGrid w:val="0"/>
          <w:spacing w:val="0"/>
          <w:kern w:val="0"/>
          <w:sz w:val="32"/>
          <w:szCs w:val="32"/>
        </w:rPr>
        <w:t>资产负债表、损益表、现金流量表等，须加盖企业公章。大型企业集团应将</w:t>
      </w:r>
      <w:r>
        <w:rPr>
          <w:rFonts w:hint="eastAsia" w:ascii="仿宋_GB2312" w:hAnsi="仿宋_GB2312" w:eastAsia="仿宋_GB2312" w:cs="仿宋_GB2312"/>
          <w:snapToGrid w:val="0"/>
          <w:spacing w:val="0"/>
          <w:kern w:val="0"/>
          <w:sz w:val="32"/>
          <w:szCs w:val="32"/>
          <w:lang w:val="en-US" w:eastAsia="zh-CN"/>
        </w:rPr>
        <w:t>其</w:t>
      </w:r>
      <w:r>
        <w:rPr>
          <w:rFonts w:hint="eastAsia" w:ascii="仿宋_GB2312" w:hAnsi="仿宋_GB2312" w:eastAsia="仿宋_GB2312" w:cs="仿宋_GB2312"/>
          <w:snapToGrid w:val="0"/>
          <w:spacing w:val="0"/>
          <w:kern w:val="0"/>
          <w:sz w:val="32"/>
          <w:szCs w:val="32"/>
        </w:rPr>
        <w:t>主营业务相关下属企业（包括分公司、子公司和控股公司）的资产负债表、损益表、现金流量表等合并填报。</w:t>
      </w:r>
    </w:p>
    <w:p>
      <w:pPr>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default" w:ascii="Times New Roman" w:hAnsi="Times New Roman" w:eastAsia="楷体_GB2312" w:cs="黑体"/>
          <w:b w:val="0"/>
          <w:bCs/>
          <w:snapToGrid w:val="0"/>
          <w:color w:val="auto"/>
          <w:spacing w:val="0"/>
          <w:kern w:val="0"/>
          <w:sz w:val="32"/>
          <w:szCs w:val="32"/>
          <w:lang w:val="en-US" w:eastAsia="zh-CN" w:bidi="ar-SA"/>
        </w:rPr>
      </w:pPr>
      <w:r>
        <w:rPr>
          <w:rFonts w:hint="eastAsia" w:ascii="Times New Roman" w:hAnsi="Times New Roman" w:eastAsia="楷体_GB2312" w:cs="黑体"/>
          <w:b w:val="0"/>
          <w:bCs/>
          <w:snapToGrid w:val="0"/>
          <w:color w:val="auto"/>
          <w:spacing w:val="0"/>
          <w:kern w:val="0"/>
          <w:sz w:val="32"/>
          <w:szCs w:val="32"/>
          <w:lang w:val="en-US" w:eastAsia="zh-CN" w:bidi="ar-SA"/>
        </w:rPr>
        <w:t>（四）相关附表及对应评价指标证明材料</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eastAsia" w:ascii="仿宋_GB2312" w:hAnsi="仿宋_GB2312" w:eastAsia="仿宋_GB2312" w:cs="仿宋_GB2312"/>
          <w:b w:val="0"/>
          <w:bCs/>
          <w:snapToGrid w:val="0"/>
          <w:color w:val="auto"/>
          <w:spacing w:val="0"/>
          <w:kern w:val="0"/>
          <w:sz w:val="32"/>
          <w:szCs w:val="32"/>
          <w:lang w:val="en-US" w:eastAsia="zh-CN" w:bidi="ar-SA"/>
        </w:rPr>
      </w:pPr>
      <w:r>
        <w:rPr>
          <w:rFonts w:hint="eastAsia" w:ascii="仿宋_GB2312" w:hAnsi="仿宋_GB2312" w:eastAsia="仿宋_GB2312" w:cs="仿宋_GB2312"/>
          <w:b w:val="0"/>
          <w:bCs/>
          <w:snapToGrid w:val="0"/>
          <w:color w:val="auto"/>
          <w:spacing w:val="0"/>
          <w:kern w:val="0"/>
          <w:sz w:val="32"/>
          <w:szCs w:val="32"/>
          <w:lang w:val="en-US" w:eastAsia="zh-CN" w:bidi="ar-SA"/>
        </w:rPr>
        <w:t>企业需按要求填报评价数据统计范围、研究开发费用情况归集、技术中心大学本科及以上学历和中级及以上职称信息等13张附表（可</w:t>
      </w:r>
      <w:r>
        <w:rPr>
          <w:rFonts w:hint="eastAsia" w:ascii="Times New Roman" w:hAnsi="Times New Roman" w:eastAsia="仿宋_GB2312" w:cs="宋体"/>
          <w:snapToGrid w:val="0"/>
          <w:color w:val="auto"/>
          <w:spacing w:val="0"/>
          <w:kern w:val="0"/>
          <w:sz w:val="32"/>
          <w:szCs w:val="32"/>
        </w:rPr>
        <w:t>从浙江政务服务网</w:t>
      </w:r>
      <w:r>
        <w:rPr>
          <w:rFonts w:hint="eastAsia" w:ascii="Times New Roman" w:hAnsi="Times New Roman" w:eastAsia="仿宋_GB2312" w:cs="宋体"/>
          <w:snapToGrid w:val="0"/>
          <w:color w:val="auto"/>
          <w:spacing w:val="0"/>
          <w:kern w:val="0"/>
          <w:sz w:val="32"/>
          <w:szCs w:val="32"/>
          <w:lang w:eastAsia="zh-CN"/>
        </w:rPr>
        <w:t>“市级企业技术中心认定”线上办理页面</w:t>
      </w:r>
      <w:r>
        <w:rPr>
          <w:rFonts w:hint="eastAsia" w:ascii="Times New Roman" w:hAnsi="Times New Roman" w:eastAsia="仿宋_GB2312" w:cs="宋体"/>
          <w:snapToGrid w:val="0"/>
          <w:color w:val="auto"/>
          <w:spacing w:val="0"/>
          <w:kern w:val="0"/>
          <w:sz w:val="32"/>
          <w:szCs w:val="32"/>
        </w:rPr>
        <w:t>下载</w:t>
      </w:r>
      <w:r>
        <w:rPr>
          <w:rFonts w:hint="eastAsia" w:ascii="仿宋_GB2312" w:hAnsi="仿宋_GB2312" w:eastAsia="仿宋_GB2312" w:cs="仿宋_GB2312"/>
          <w:b w:val="0"/>
          <w:bCs/>
          <w:snapToGrid w:val="0"/>
          <w:color w:val="auto"/>
          <w:spacing w:val="0"/>
          <w:kern w:val="0"/>
          <w:sz w:val="32"/>
          <w:szCs w:val="32"/>
          <w:lang w:val="en-US" w:eastAsia="zh-CN" w:bidi="ar-SA"/>
        </w:rPr>
        <w:t>），并提供相应证明材料。</w:t>
      </w:r>
    </w:p>
    <w:p>
      <w:pPr>
        <w:keepNext w:val="0"/>
        <w:keepLines w:val="0"/>
        <w:pageBreakBefore w:val="0"/>
        <w:widowControl w:val="0"/>
        <w:kinsoku/>
        <w:wordWrap/>
        <w:overflowPunct/>
        <w:topLinePunct w:val="0"/>
        <w:autoSpaceDE w:val="0"/>
        <w:autoSpaceDN w:val="0"/>
        <w:bidi w:val="0"/>
        <w:adjustRightInd w:val="0"/>
        <w:snapToGrid w:val="0"/>
        <w:spacing w:line="351" w:lineRule="auto"/>
        <w:ind w:left="0" w:leftChars="0" w:right="0" w:rightChars="0" w:firstLine="640" w:firstLineChars="200"/>
        <w:jc w:val="both"/>
        <w:textAlignment w:val="auto"/>
        <w:outlineLvl w:val="9"/>
        <w:rPr>
          <w:rFonts w:hint="default" w:ascii="Times New Roman" w:hAnsi="Times New Roman" w:eastAsia="楷体_GB2312" w:cs="黑体"/>
          <w:b w:val="0"/>
          <w:bCs/>
          <w:snapToGrid w:val="0"/>
          <w:color w:val="auto"/>
          <w:spacing w:val="0"/>
          <w:kern w:val="0"/>
          <w:sz w:val="32"/>
          <w:szCs w:val="32"/>
          <w:lang w:val="en-US" w:eastAsia="zh-CN" w:bidi="ar-SA"/>
        </w:rPr>
      </w:pPr>
      <w:r>
        <w:rPr>
          <w:rFonts w:hint="eastAsia" w:ascii="Times New Roman" w:hAnsi="Times New Roman" w:eastAsia="楷体_GB2312" w:cs="黑体"/>
          <w:b w:val="0"/>
          <w:bCs/>
          <w:snapToGrid w:val="0"/>
          <w:color w:val="auto"/>
          <w:spacing w:val="0"/>
          <w:kern w:val="0"/>
          <w:sz w:val="32"/>
          <w:szCs w:val="32"/>
          <w:lang w:val="en-US" w:eastAsia="zh-CN" w:bidi="ar-SA"/>
        </w:rPr>
        <w:t>（五）其他证明材料</w:t>
      </w:r>
    </w:p>
    <w:p>
      <w:pPr>
        <w:pStyle w:val="6"/>
        <w:keepNext w:val="0"/>
        <w:keepLines w:val="0"/>
        <w:pageBreakBefore w:val="0"/>
        <w:widowControl w:val="0"/>
        <w:kinsoku/>
        <w:wordWrap/>
        <w:overflowPunct/>
        <w:topLinePunct w:val="0"/>
        <w:bidi w:val="0"/>
        <w:adjustRightInd w:val="0"/>
        <w:snapToGrid w:val="0"/>
        <w:spacing w:line="351" w:lineRule="auto"/>
        <w:ind w:left="0" w:leftChars="0" w:right="0" w:rightChars="0" w:firstLine="640" w:firstLineChars="200"/>
        <w:jc w:val="both"/>
        <w:textAlignment w:val="auto"/>
        <w:outlineLvl w:val="9"/>
        <w:rPr>
          <w:rFonts w:hint="eastAsia" w:ascii="Times New Roman" w:hAnsi="Times New Roman" w:eastAsia="仿宋_GB2312" w:cs="宋体"/>
          <w:snapToGrid w:val="0"/>
          <w:color w:val="auto"/>
          <w:spacing w:val="0"/>
          <w:kern w:val="0"/>
          <w:sz w:val="32"/>
          <w:szCs w:val="32"/>
        </w:rPr>
      </w:pPr>
      <w:r>
        <w:rPr>
          <w:rFonts w:hint="eastAsia" w:ascii="Times New Roman" w:hAnsi="Times New Roman" w:eastAsia="仿宋_GB2312" w:cs="仿宋_GB2312"/>
          <w:snapToGrid w:val="0"/>
          <w:color w:val="auto"/>
          <w:spacing w:val="0"/>
          <w:kern w:val="0"/>
          <w:sz w:val="32"/>
          <w:szCs w:val="32"/>
          <w:lang w:val="en-US" w:eastAsia="zh-CN"/>
        </w:rPr>
        <w:t>主要是</w:t>
      </w:r>
      <w:r>
        <w:rPr>
          <w:rFonts w:hint="eastAsia" w:ascii="Times New Roman" w:hAnsi="Times New Roman" w:eastAsia="仿宋_GB2312" w:cs="仿宋_GB2312"/>
          <w:snapToGrid w:val="0"/>
          <w:color w:val="auto"/>
          <w:spacing w:val="0"/>
          <w:kern w:val="0"/>
          <w:sz w:val="32"/>
          <w:szCs w:val="32"/>
          <w:lang w:eastAsia="zh-CN"/>
        </w:rPr>
        <w:t>技术中心职工人数、技术中心职工年收入总额、企业职工总数、企业</w:t>
      </w:r>
      <w:r>
        <w:rPr>
          <w:rFonts w:hint="eastAsia" w:ascii="Times New Roman" w:hAnsi="Times New Roman" w:eastAsia="仿宋_GB2312" w:cs="仿宋_GB2312"/>
          <w:snapToGrid w:val="0"/>
          <w:color w:val="auto"/>
          <w:spacing w:val="0"/>
          <w:kern w:val="0"/>
          <w:sz w:val="32"/>
          <w:szCs w:val="32"/>
          <w:lang w:val="en-US" w:eastAsia="zh-CN"/>
        </w:rPr>
        <w:t>全体</w:t>
      </w:r>
      <w:r>
        <w:rPr>
          <w:rFonts w:hint="eastAsia" w:ascii="Times New Roman" w:hAnsi="Times New Roman" w:eastAsia="仿宋_GB2312" w:cs="仿宋_GB2312"/>
          <w:snapToGrid w:val="0"/>
          <w:color w:val="auto"/>
          <w:spacing w:val="0"/>
          <w:kern w:val="0"/>
          <w:sz w:val="32"/>
          <w:szCs w:val="32"/>
          <w:lang w:eastAsia="zh-CN"/>
        </w:rPr>
        <w:t>职工年收入总额、企业技术服务收入</w:t>
      </w:r>
      <w:r>
        <w:rPr>
          <w:rFonts w:hint="eastAsia" w:ascii="Times New Roman" w:hAnsi="Times New Roman" w:eastAsia="仿宋_GB2312" w:cs="仿宋_GB2312"/>
          <w:snapToGrid w:val="0"/>
          <w:color w:val="auto"/>
          <w:spacing w:val="0"/>
          <w:kern w:val="0"/>
          <w:sz w:val="32"/>
          <w:szCs w:val="32"/>
          <w:lang w:val="en-US" w:eastAsia="zh-CN"/>
        </w:rPr>
        <w:t>等评价指标的证明材料</w:t>
      </w:r>
      <w:r>
        <w:rPr>
          <w:rFonts w:hint="eastAsia" w:ascii="Times New Roman" w:hAnsi="Times New Roman" w:eastAsia="仿宋_GB2312" w:cs="宋体"/>
          <w:snapToGrid w:val="0"/>
          <w:color w:val="auto"/>
          <w:spacing w:val="0"/>
          <w:kern w:val="0"/>
          <w:sz w:val="32"/>
          <w:szCs w:val="32"/>
        </w:rPr>
        <w:t>。</w:t>
      </w:r>
    </w:p>
    <w:p>
      <w:pPr>
        <w:pStyle w:val="6"/>
        <w:keepNext w:val="0"/>
        <w:keepLines w:val="0"/>
        <w:pageBreakBefore w:val="0"/>
        <w:widowControl w:val="0"/>
        <w:kinsoku/>
        <w:wordWrap/>
        <w:overflowPunct/>
        <w:topLinePunct w:val="0"/>
        <w:bidi w:val="0"/>
        <w:adjustRightInd w:val="0"/>
        <w:snapToGrid w:val="0"/>
        <w:spacing w:line="360" w:lineRule="auto"/>
        <w:ind w:left="0" w:leftChars="0" w:right="0" w:rightChars="0" w:firstLine="640" w:firstLineChars="200"/>
        <w:jc w:val="both"/>
        <w:textAlignment w:val="auto"/>
        <w:outlineLvl w:val="9"/>
        <w:rPr>
          <w:rFonts w:hint="eastAsia" w:ascii="Times New Roman" w:hAnsi="Times New Roman" w:eastAsia="仿宋_GB2312" w:cs="宋体"/>
          <w:snapToGrid w:val="0"/>
          <w:color w:val="FF0000"/>
          <w:spacing w:val="0"/>
          <w:kern w:val="0"/>
          <w:sz w:val="32"/>
          <w:szCs w:val="32"/>
        </w:rPr>
        <w:sectPr>
          <w:footerReference r:id="rId3" w:type="default"/>
          <w:footerReference r:id="rId4" w:type="even"/>
          <w:pgSz w:w="11906" w:h="16838"/>
          <w:pgMar w:top="1701" w:right="1474" w:bottom="1701" w:left="1587" w:header="851" w:footer="1361" w:gutter="0"/>
          <w:pgNumType w:fmt="numberInDash"/>
          <w:cols w:space="720" w:num="1"/>
          <w:rtlGutter w:val="0"/>
          <w:docGrid w:type="lines" w:linePitch="316"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Cambria">
    <w:panose1 w:val="02040503050406030204"/>
    <w:charset w:val="00"/>
    <w:family w:val="moder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- 21 -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- 21 -</w:t>
                    </w:r>
                    <w:r>
                      <w:rPr>
                        <w:rFonts w:ascii="宋体" w:hAnsi="宋体"/>
                        <w:sz w:val="28"/>
                        <w:szCs w:val="28"/>
                      </w:rP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- 20 -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- 20 -</w:t>
                    </w:r>
                    <w:r>
                      <w:rPr>
                        <w:rFonts w:ascii="宋体" w:hAnsi="宋体"/>
                        <w:sz w:val="28"/>
                        <w:szCs w:val="28"/>
                      </w:rPr>
                      <w:fldChar w:fldCharType="end"/>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701C213E"/>
    <w:rsid w:val="701C21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Title"/>
    <w:basedOn w:val="1"/>
    <w:next w:val="1"/>
    <w:qFormat/>
    <w:uiPriority w:val="10"/>
    <w:pPr>
      <w:ind w:firstLine="0" w:firstLineChars="0"/>
      <w:jc w:val="center"/>
    </w:pPr>
    <w:rPr>
      <w:rFonts w:ascii="方正小标宋简体" w:hAnsi="Cambria" w:eastAsia="方正小标宋简体" w:cs="Times New Roman"/>
      <w:bCs/>
      <w:sz w:val="44"/>
      <w:szCs w:val="32"/>
    </w:rPr>
  </w:style>
  <w:style w:type="paragraph" w:customStyle="1" w:styleId="6">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2893</Words>
  <Characters>2983</Characters>
  <Lines>0</Lines>
  <Paragraphs>0</Paragraphs>
  <TotalTime>0</TotalTime>
  <ScaleCrop>false</ScaleCrop>
  <LinksUpToDate>false</LinksUpToDate>
  <CharactersWithSpaces>3094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2023-03-24T02:53:00Z</dcterms:created>
  <dc:creator>南茶辞</dc:creator>
  <cp:lastModifiedBy>南茶辞</cp:lastModifiedBy>
  <dcterms:modified xsi:type="dcterms:W3CDTF">2023-03-24T02:54:52Z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BB9B94CAFD8947F08524E71130DE40C2</vt:lpwstr>
  </property>
</Properties>
</file>