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rPr>
          <w:rFonts w:hint="eastAsia" w:ascii="方正小标宋_GBK" w:eastAsia="方正小标宋_GBK"/>
          <w:sz w:val="36"/>
          <w:szCs w:val="36"/>
        </w:rPr>
      </w:pPr>
    </w:p>
    <w:p>
      <w:pPr>
        <w:spacing w:line="560" w:lineRule="exact"/>
        <w:jc w:val="center"/>
        <w:outlineLvl w:val="0"/>
        <w:rPr>
          <w:rFonts w:hint="eastAsia" w:ascii="方正小标宋_GBK" w:eastAsia="方正小标宋_GBK"/>
          <w:sz w:val="36"/>
          <w:szCs w:val="36"/>
        </w:rPr>
      </w:pPr>
      <w:r>
        <w:rPr>
          <w:rFonts w:hint="eastAsia" w:ascii="仿宋_GB2312" w:hAnsi="仿宋_GB2312" w:eastAsia="仿宋_GB2312" w:cs="仿宋_GB2312"/>
          <w:b/>
          <w:bCs/>
          <w:sz w:val="44"/>
          <w:szCs w:val="44"/>
          <w:lang w:eastAsia="zh-CN"/>
        </w:rPr>
        <w:t>拟</w:t>
      </w:r>
      <w:r>
        <w:rPr>
          <w:rFonts w:hint="eastAsia" w:ascii="仿宋_GB2312" w:hAnsi="仿宋_GB2312" w:eastAsia="仿宋_GB2312" w:cs="仿宋_GB2312"/>
          <w:b/>
          <w:bCs/>
          <w:sz w:val="44"/>
          <w:szCs w:val="44"/>
        </w:rPr>
        <w:t>继续有效的行政规范性文件目录</w:t>
      </w:r>
    </w:p>
    <w:p>
      <w:pPr>
        <w:spacing w:line="560" w:lineRule="exact"/>
        <w:rPr>
          <w:rFonts w:ascii="方正小标宋_GBK" w:eastAsia="方正小标宋_GBK"/>
          <w:sz w:val="36"/>
          <w:szCs w:val="36"/>
        </w:rPr>
      </w:pPr>
      <w:r>
        <w:rPr>
          <w:rFonts w:hint="eastAsia" w:ascii="方正小标宋_GBK" w:eastAsia="方正小标宋_GBK"/>
          <w:sz w:val="36"/>
          <w:szCs w:val="36"/>
        </w:rPr>
        <w:t xml:space="preserve">                  </w:t>
      </w:r>
    </w:p>
    <w:tbl>
      <w:tblPr>
        <w:tblStyle w:val="4"/>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2126"/>
        <w:gridCol w:w="4253"/>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黑体" w:hAnsi="黑体" w:eastAsia="黑体"/>
                <w:sz w:val="30"/>
                <w:szCs w:val="30"/>
              </w:rPr>
            </w:pPr>
            <w:r>
              <w:rPr>
                <w:rFonts w:hint="eastAsia" w:ascii="黑体" w:hAnsi="黑体" w:eastAsia="黑体"/>
                <w:kern w:val="0"/>
                <w:sz w:val="30"/>
                <w:szCs w:val="30"/>
              </w:rPr>
              <w:t>序号</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黑体" w:hAnsi="黑体" w:eastAsia="黑体"/>
                <w:sz w:val="30"/>
                <w:szCs w:val="30"/>
              </w:rPr>
            </w:pPr>
            <w:r>
              <w:rPr>
                <w:rFonts w:hint="eastAsia" w:ascii="黑体" w:hAnsi="黑体" w:eastAsia="黑体"/>
                <w:kern w:val="0"/>
                <w:sz w:val="30"/>
                <w:szCs w:val="30"/>
              </w:rPr>
              <w:t>文号</w:t>
            </w:r>
          </w:p>
        </w:tc>
        <w:tc>
          <w:tcPr>
            <w:tcW w:w="425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黑体" w:hAnsi="黑体" w:eastAsia="黑体"/>
                <w:sz w:val="30"/>
                <w:szCs w:val="30"/>
              </w:rPr>
            </w:pPr>
            <w:r>
              <w:rPr>
                <w:rFonts w:hint="eastAsia" w:ascii="黑体" w:hAnsi="黑体" w:eastAsia="黑体"/>
                <w:kern w:val="0"/>
                <w:sz w:val="30"/>
                <w:szCs w:val="30"/>
              </w:rPr>
              <w:t>文件名称</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jc w:val="center"/>
              <w:rPr>
                <w:rFonts w:ascii="黑体" w:hAnsi="黑体" w:eastAsia="黑体"/>
                <w:kern w:val="0"/>
                <w:sz w:val="30"/>
                <w:szCs w:val="30"/>
              </w:rPr>
            </w:pPr>
            <w:r>
              <w:rPr>
                <w:rFonts w:hint="eastAsia" w:ascii="黑体" w:hAnsi="黑体" w:eastAsia="黑体"/>
                <w:kern w:val="0"/>
                <w:sz w:val="30"/>
                <w:szCs w:val="30"/>
              </w:rPr>
              <w:t>清理意见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51" w:type="dxa"/>
            <w:noWrap w:val="0"/>
            <w:vAlign w:val="top"/>
          </w:tcPr>
          <w:p>
            <w:pPr>
              <w:pStyle w:val="6"/>
              <w:numPr>
                <w:ilvl w:val="0"/>
                <w:numId w:val="0"/>
              </w:numPr>
              <w:spacing w:line="360" w:lineRule="auto"/>
              <w:ind w:leftChars="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1</w:t>
            </w:r>
          </w:p>
        </w:tc>
        <w:tc>
          <w:tcPr>
            <w:tcW w:w="2126"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杭经信联智能 〔2018〕81号</w:t>
            </w:r>
          </w:p>
        </w:tc>
        <w:tc>
          <w:tcPr>
            <w:tcW w:w="4253"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关于印发杭州市企业技术中心管理办法的通知</w:t>
            </w:r>
          </w:p>
        </w:tc>
        <w:tc>
          <w:tcPr>
            <w:tcW w:w="1417"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继续有效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51" w:type="dxa"/>
            <w:noWrap w:val="0"/>
            <w:vAlign w:val="top"/>
          </w:tcPr>
          <w:p>
            <w:pPr>
              <w:pStyle w:val="6"/>
              <w:numPr>
                <w:ilvl w:val="0"/>
                <w:numId w:val="0"/>
              </w:numPr>
              <w:spacing w:line="360" w:lineRule="auto"/>
              <w:ind w:leftChars="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2</w:t>
            </w:r>
          </w:p>
        </w:tc>
        <w:tc>
          <w:tcPr>
            <w:tcW w:w="2126"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杭经信智能〔2018〕165号</w:t>
            </w:r>
          </w:p>
        </w:tc>
        <w:tc>
          <w:tcPr>
            <w:tcW w:w="4253"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关于进一步加快杭州市工业设计发展的指导意见</w:t>
            </w:r>
          </w:p>
        </w:tc>
        <w:tc>
          <w:tcPr>
            <w:tcW w:w="1417"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继续有效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51" w:type="dxa"/>
            <w:noWrap w:val="0"/>
            <w:vAlign w:val="top"/>
          </w:tcPr>
          <w:p>
            <w:pPr>
              <w:pStyle w:val="6"/>
              <w:numPr>
                <w:ilvl w:val="0"/>
                <w:numId w:val="0"/>
              </w:numPr>
              <w:spacing w:line="360" w:lineRule="auto"/>
              <w:ind w:leftChars="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3</w:t>
            </w:r>
          </w:p>
        </w:tc>
        <w:tc>
          <w:tcPr>
            <w:tcW w:w="2126"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杭经信联投资〔2015〕197号</w:t>
            </w:r>
          </w:p>
        </w:tc>
        <w:tc>
          <w:tcPr>
            <w:tcW w:w="4253"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关于做好工业企业“零土地”技术改造项目审批方式改革实施工作的通知</w:t>
            </w:r>
          </w:p>
        </w:tc>
        <w:tc>
          <w:tcPr>
            <w:tcW w:w="1417"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继续有效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51" w:type="dxa"/>
            <w:noWrap w:val="0"/>
            <w:vAlign w:val="top"/>
          </w:tcPr>
          <w:p>
            <w:pPr>
              <w:pStyle w:val="6"/>
              <w:numPr>
                <w:ilvl w:val="0"/>
                <w:numId w:val="0"/>
              </w:numPr>
              <w:spacing w:line="360" w:lineRule="auto"/>
              <w:ind w:leftChars="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4</w:t>
            </w:r>
          </w:p>
        </w:tc>
        <w:tc>
          <w:tcPr>
            <w:tcW w:w="2126"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杭经信法规〔2015〕292号</w:t>
            </w:r>
          </w:p>
        </w:tc>
        <w:tc>
          <w:tcPr>
            <w:tcW w:w="4253"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关于印发行政处罚裁量基准的通知</w:t>
            </w:r>
          </w:p>
        </w:tc>
        <w:tc>
          <w:tcPr>
            <w:tcW w:w="1417"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继续有效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51" w:type="dxa"/>
            <w:noWrap w:val="0"/>
            <w:vAlign w:val="top"/>
          </w:tcPr>
          <w:p>
            <w:pPr>
              <w:pStyle w:val="6"/>
              <w:numPr>
                <w:ilvl w:val="0"/>
                <w:numId w:val="0"/>
              </w:numPr>
              <w:spacing w:line="360" w:lineRule="auto"/>
              <w:ind w:leftChars="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5</w:t>
            </w:r>
          </w:p>
        </w:tc>
        <w:tc>
          <w:tcPr>
            <w:tcW w:w="2126"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杭经信联信基〔2014〕243号</w:t>
            </w:r>
          </w:p>
        </w:tc>
        <w:tc>
          <w:tcPr>
            <w:tcW w:w="4253"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杭州市经济和信息化委员会 杭州市城乡建设委员会关于推进住宅区和住宅建筑通信基础设施共建共享的实施意见</w:t>
            </w:r>
          </w:p>
        </w:tc>
        <w:tc>
          <w:tcPr>
            <w:tcW w:w="1417"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继续有效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51" w:type="dxa"/>
            <w:noWrap w:val="0"/>
            <w:vAlign w:val="top"/>
          </w:tcPr>
          <w:p>
            <w:pPr>
              <w:pStyle w:val="6"/>
              <w:numPr>
                <w:ilvl w:val="0"/>
                <w:numId w:val="0"/>
              </w:numPr>
              <w:spacing w:line="360" w:lineRule="auto"/>
              <w:ind w:leftChars="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6</w:t>
            </w:r>
          </w:p>
        </w:tc>
        <w:tc>
          <w:tcPr>
            <w:tcW w:w="2126"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杭经信联信基〔2021〕20号</w:t>
            </w:r>
          </w:p>
        </w:tc>
        <w:tc>
          <w:tcPr>
            <w:tcW w:w="4253"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国家（杭州）新型互联网交换中心补贴方案实施细则</w:t>
            </w:r>
          </w:p>
        </w:tc>
        <w:tc>
          <w:tcPr>
            <w:tcW w:w="1417"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继续有效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851" w:type="dxa"/>
            <w:noWrap w:val="0"/>
            <w:vAlign w:val="top"/>
          </w:tcPr>
          <w:p>
            <w:pPr>
              <w:pStyle w:val="6"/>
              <w:numPr>
                <w:ilvl w:val="0"/>
                <w:numId w:val="0"/>
              </w:numPr>
              <w:spacing w:line="360" w:lineRule="auto"/>
              <w:ind w:leftChars="0"/>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7</w:t>
            </w:r>
          </w:p>
        </w:tc>
        <w:tc>
          <w:tcPr>
            <w:tcW w:w="2126"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杭经信消费〔2020〕58 号</w:t>
            </w:r>
          </w:p>
        </w:tc>
        <w:tc>
          <w:tcPr>
            <w:tcW w:w="4253"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关于印发杭州市工艺美术大师评审实施细则的通知</w:t>
            </w:r>
          </w:p>
        </w:tc>
        <w:tc>
          <w:tcPr>
            <w:tcW w:w="1417" w:type="dxa"/>
            <w:noWrap w:val="0"/>
            <w:vAlign w:val="center"/>
          </w:tcPr>
          <w:p>
            <w:pPr>
              <w:spacing w:line="360" w:lineRule="auto"/>
              <w:rPr>
                <w:rFonts w:hint="eastAsia" w:ascii="仿宋_GB2312" w:hAnsi="Calibri" w:eastAsia="仿宋_GB2312"/>
                <w:sz w:val="28"/>
                <w:szCs w:val="28"/>
              </w:rPr>
            </w:pPr>
            <w:r>
              <w:rPr>
                <w:rFonts w:hint="eastAsia" w:ascii="仿宋_GB2312" w:hAnsi="Calibri" w:eastAsia="仿宋_GB2312"/>
                <w:sz w:val="28"/>
                <w:szCs w:val="28"/>
              </w:rPr>
              <w:t>继续有效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34FC57EE"/>
    <w:rsid w:val="34FC5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空2字"/>
    <w:basedOn w:val="3"/>
    <w:qFormat/>
    <w:uiPriority w:val="0"/>
    <w:pPr>
      <w:widowControl w:val="0"/>
      <w:snapToGrid w:val="0"/>
      <w:spacing w:line="560" w:lineRule="exact"/>
      <w:ind w:firstLine="200" w:firstLineChars="200"/>
    </w:pPr>
    <w:rPr>
      <w:rFonts w:ascii="仿宋_GB2312" w:hAnsi="仿宋_GB2312"/>
    </w:rPr>
  </w:style>
  <w:style w:type="paragraph" w:customStyle="1" w:styleId="3">
    <w:name w:val="左对齐正文"/>
    <w:qFormat/>
    <w:uiPriority w:val="0"/>
    <w:rPr>
      <w:rFonts w:ascii="Calibri" w:hAnsi="Calibri" w:eastAsia="仿宋_GB2312" w:cs="Times New Roman"/>
      <w:kern w:val="2"/>
      <w:sz w:val="32"/>
      <w:szCs w:val="22"/>
      <w:lang w:val="en-US" w:eastAsia="zh-CN" w:bidi="ar-SA"/>
    </w:rPr>
  </w:style>
  <w:style w:type="paragraph" w:customStyle="1" w:styleId="6">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2022-07-29T07:55:00Z</dcterms:created>
  <dc:creator>上帝的宝贝</dc:creator>
  <cp:lastModifiedBy>上帝的宝贝</cp:lastModifiedBy>
  <dcterms:modified xsi:type="dcterms:W3CDTF">2022-07-29T07:56:25Z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953618595199493A80BE6C12A4FE4E81</vt:lpwstr>
  </property>
</Properties>
</file>