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cs="宋体"/>
          <w:kern w:val="0"/>
          <w:sz w:val="44"/>
          <w:szCs w:val="44"/>
        </w:rPr>
      </w:pPr>
      <w:r>
        <w:rPr>
          <w:rFonts w:hint="eastAsia" w:ascii="宋体" w:hAnsi="宋体" w:cs="宋体"/>
          <w:kern w:val="0"/>
          <w:sz w:val="44"/>
          <w:szCs w:val="44"/>
        </w:rPr>
        <w:t>高级工程师资格申报条件</w:t>
      </w:r>
    </w:p>
    <w:p>
      <w:pPr>
        <w:spacing w:line="520" w:lineRule="exact"/>
        <w:jc w:val="both"/>
        <w:rPr>
          <w:rFonts w:ascii="Times New Roman" w:hAnsi="Times New Roman" w:eastAsia="方正小标宋简体"/>
          <w:kern w:val="0"/>
          <w:sz w:val="44"/>
          <w:szCs w:val="44"/>
        </w:rPr>
      </w:pP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一、专业条件</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担任高级工程师职务，应具备下列部门之一的条件：</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4.能够指导工程师的工作和学习。</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3.有丰富的工程技术研究、设计实践经验，取得过具有实</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用价值或显著社会经济效益的研究、设计成果，或发表过有较高水平的技术著作、论文。</w:t>
      </w:r>
    </w:p>
    <w:p>
      <w:pPr>
        <w:spacing w:line="520" w:lineRule="exact"/>
        <w:ind w:firstLine="640" w:firstLineChars="200"/>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kern w:val="0"/>
          <w:sz w:val="32"/>
          <w:szCs w:val="32"/>
        </w:rPr>
        <w:t>能够指导工程师、研究生的工作和学习。</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二、学历、资历要求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3.取得国家工程技术类相应执业资格，按规定聘任工程技术相应中级专业技术职务，担任相应中级职务5年以上，并符合其他申报条件的。</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（二）高技能人才申报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浙江省人力资源和社会保障厅转发人力资源社会保障部&lt;关于在工程技术领域实现高技能人才与工程技术人才职业发展贯通的意见（试行）&gt;的通知》（浙人社发〔2019〕31号）文件精神，获得高级技师职业资格或职业技能等级（一级）后从事技术技能工作满4年，可申报评审相应专业高级工程师。钱江技能大奖获得者、国家级技能大师工作室领办人、世界技能大赛银牌铜牌获得者，省“百千万”高技能领军人才培养工程中入选“杰出技能人才”的人员，可直接申报高级工程师。</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2.博士后科研流动站、工作站出站人员，在站期间能够圆满完成研究课题，并取得科研成果的，可申请认定相应的高级（副高）专业技术资格。</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持大中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三、考核要求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近三年年度考核合格（含）以上。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四、继续教育学分要求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继续教育要求按照《浙江省工业和信息化领域专业技术人员继续教育学时登记细则（试行）》（浙经信人事〔2018〕99号）文件执行，申报人员可登陆“浙江省工业和信息化领域专业技术人员继续教育学时登记管理系统”（http://jxjy.jxt.zj.gov.cn/iext/ zgProject/index.jsp）或“杭州市专业技术人员学习新干线系统”（https://learning.hzrs.hangzhou.gov.cn）进行学习及学时登记。申报时核验近三年学时证明，即2020年、2021年、2022年。申报人员每年度参加继续教育不得少于90学时，其中专业科目不少于60学时，行业公需和一般公需科目不少于18学时，没有完成年度继续教育规定学时的人员，不得申报（2020、2021、2022年三年共270学时，平均90学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04C4033A"/>
    <w:rsid w:val="04C4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2022-07-19T05:56:00Z</dcterms:created>
  <dc:creator>上帝的宝贝</dc:creator>
  <cp:lastModifiedBy>上帝的宝贝</cp:lastModifiedBy>
  <dcterms:modified xsi:type="dcterms:W3CDTF">2022-07-19T05:56:57Z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F8F49A0C94A94CB59E02429C2F250192</vt:lpwstr>
  </property>
</Properties>
</file>