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pPr>
      <w:r>
        <w:rPr>
          <w:rFonts w:hint="eastAsia"/>
        </w:rPr>
        <w:t>附件</w:t>
      </w:r>
      <w:r>
        <w:t>4</w:t>
      </w:r>
    </w:p>
    <w:p>
      <w:pPr>
        <w:jc w:val="center"/>
        <w:rPr>
          <w:rFonts w:ascii="宋体" w:hAnsi="宋体" w:eastAsia="宋体"/>
          <w:sz w:val="40"/>
        </w:rPr>
      </w:pPr>
      <w:r>
        <w:rPr>
          <w:rFonts w:hint="eastAsia" w:ascii="宋体" w:hAnsi="宋体" w:eastAsia="宋体"/>
          <w:sz w:val="40"/>
        </w:rPr>
        <w:t>入库</w:t>
      </w:r>
      <w:r>
        <w:rPr>
          <w:rFonts w:hint="eastAsia" w:ascii="宋体" w:hAnsi="宋体" w:eastAsia="宋体" w:cs="仿宋_GB2312"/>
          <w:sz w:val="40"/>
        </w:rPr>
        <w:t>审核指标</w:t>
      </w:r>
    </w:p>
    <w:p>
      <w:pPr>
        <w:widowControl/>
        <w:autoSpaceDE w:val="0"/>
        <w:autoSpaceDN w:val="0"/>
        <w:spacing w:line="580" w:lineRule="exact"/>
        <w:jc w:val="center"/>
        <w:outlineLvl w:val="0"/>
        <w:rPr>
          <w:rFonts w:ascii="黑体" w:hAnsi="黑体" w:eastAsia="黑体" w:cs="黑体"/>
          <w:sz w:val="40"/>
          <w:szCs w:val="32"/>
        </w:rPr>
      </w:pPr>
    </w:p>
    <w:tbl>
      <w:tblPr>
        <w:tblStyle w:val="2"/>
        <w:tblW w:w="8222" w:type="dxa"/>
        <w:tblInd w:w="-5" w:type="dxa"/>
        <w:tblLayout w:type="fixed"/>
        <w:tblCellMar>
          <w:top w:w="0" w:type="dxa"/>
          <w:left w:w="108" w:type="dxa"/>
          <w:bottom w:w="0" w:type="dxa"/>
          <w:right w:w="108" w:type="dxa"/>
        </w:tblCellMar>
      </w:tblPr>
      <w:tblGrid>
        <w:gridCol w:w="1276"/>
        <w:gridCol w:w="6946"/>
      </w:tblGrid>
      <w:tr>
        <w:tblPrEx>
          <w:tblCellMar>
            <w:top w:w="0" w:type="dxa"/>
            <w:left w:w="108" w:type="dxa"/>
            <w:bottom w:w="0" w:type="dxa"/>
            <w:right w:w="108" w:type="dxa"/>
          </w:tblCellMar>
        </w:tblPrEx>
        <w:trPr>
          <w:cantSplit/>
          <w:trHeight w:val="1495"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必备指标</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1.符合《中小企业划型标准》且上年度营业收入</w:t>
            </w:r>
            <w:r>
              <w:rPr>
                <w:rFonts w:ascii="仿宋" w:hAnsi="仿宋" w:eastAsia="仿宋" w:cs="仿宋"/>
                <w:color w:val="000000"/>
                <w:sz w:val="24"/>
                <w:szCs w:val="21"/>
              </w:rPr>
              <w:t>4000</w:t>
            </w:r>
            <w:r>
              <w:rPr>
                <w:rFonts w:hint="eastAsia" w:ascii="仿宋" w:hAnsi="仿宋" w:eastAsia="仿宋" w:cs="仿宋"/>
                <w:color w:val="000000"/>
                <w:sz w:val="24"/>
                <w:szCs w:val="21"/>
              </w:rPr>
              <w:t>万以上2</w:t>
            </w:r>
            <w:r>
              <w:rPr>
                <w:rFonts w:ascii="仿宋" w:hAnsi="仿宋" w:eastAsia="仿宋" w:cs="仿宋"/>
                <w:color w:val="000000"/>
                <w:sz w:val="24"/>
                <w:szCs w:val="21"/>
              </w:rPr>
              <w:t>0</w:t>
            </w:r>
            <w:r>
              <w:rPr>
                <w:rFonts w:hint="eastAsia" w:ascii="仿宋" w:hAnsi="仿宋" w:eastAsia="仿宋" w:cs="仿宋"/>
                <w:color w:val="000000"/>
                <w:sz w:val="24"/>
                <w:szCs w:val="21"/>
              </w:rPr>
              <w:t>亿以下 □ ；</w:t>
            </w:r>
          </w:p>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2.企业主营业务收入占营业收入70%以上   □ ；</w:t>
            </w:r>
          </w:p>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3.企业主导产品市场占有率位于全省前</w:t>
            </w:r>
            <w:r>
              <w:rPr>
                <w:rFonts w:ascii="仿宋" w:hAnsi="仿宋" w:eastAsia="仿宋" w:cs="仿宋"/>
                <w:color w:val="000000"/>
                <w:sz w:val="24"/>
                <w:szCs w:val="21"/>
              </w:rPr>
              <w:t>5</w:t>
            </w:r>
            <w:r>
              <w:rPr>
                <w:rFonts w:hint="eastAsia" w:ascii="仿宋" w:hAnsi="仿宋" w:eastAsia="仿宋" w:cs="仿宋"/>
                <w:color w:val="000000"/>
                <w:sz w:val="24"/>
                <w:szCs w:val="21"/>
              </w:rPr>
              <w:t>位或全国前</w:t>
            </w:r>
            <w:r>
              <w:rPr>
                <w:rFonts w:ascii="仿宋" w:hAnsi="仿宋" w:eastAsia="仿宋" w:cs="仿宋"/>
                <w:color w:val="000000"/>
                <w:sz w:val="24"/>
                <w:szCs w:val="21"/>
              </w:rPr>
              <w:t>10</w:t>
            </w:r>
            <w:r>
              <w:rPr>
                <w:rFonts w:hint="eastAsia" w:ascii="仿宋" w:hAnsi="仿宋" w:eastAsia="仿宋" w:cs="仿宋"/>
                <w:color w:val="000000"/>
                <w:sz w:val="24"/>
                <w:szCs w:val="21"/>
              </w:rPr>
              <w:t>位，或为世界500强等大企业主要配套商 □ ；</w:t>
            </w:r>
          </w:p>
          <w:p>
            <w:pPr>
              <w:widowControl/>
              <w:jc w:val="left"/>
              <w:rPr>
                <w:rFonts w:ascii="仿宋" w:hAnsi="仿宋" w:eastAsia="仿宋" w:cs="仿宋"/>
                <w:color w:val="000000"/>
                <w:sz w:val="24"/>
                <w:szCs w:val="21"/>
              </w:rPr>
            </w:pPr>
            <w:r>
              <w:rPr>
                <w:rFonts w:ascii="仿宋" w:hAnsi="仿宋" w:eastAsia="仿宋" w:cs="仿宋"/>
                <w:color w:val="000000"/>
                <w:sz w:val="24"/>
                <w:szCs w:val="21"/>
              </w:rPr>
              <w:t>4.</w:t>
            </w:r>
            <w:r>
              <w:rPr>
                <w:rFonts w:hint="eastAsia" w:ascii="仿宋" w:hAnsi="仿宋" w:eastAsia="仿宋" w:cs="仿宋"/>
                <w:color w:val="000000"/>
                <w:sz w:val="24"/>
                <w:szCs w:val="21"/>
              </w:rPr>
              <w:t>企业未被列入杭州市公共信用信息平台失信联合惩戒对象名单 □ ；</w:t>
            </w:r>
          </w:p>
        </w:tc>
      </w:tr>
      <w:tr>
        <w:tblPrEx>
          <w:tblCellMar>
            <w:top w:w="0" w:type="dxa"/>
            <w:left w:w="108" w:type="dxa"/>
            <w:bottom w:w="0" w:type="dxa"/>
            <w:right w:w="108" w:type="dxa"/>
          </w:tblCellMar>
        </w:tblPrEx>
        <w:trPr>
          <w:cantSplit/>
          <w:trHeight w:val="3253" w:hRule="atLeast"/>
        </w:trPr>
        <w:tc>
          <w:tcPr>
            <w:tcW w:w="12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可选指标</w:t>
            </w:r>
          </w:p>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（至少6项符合）</w:t>
            </w:r>
          </w:p>
        </w:tc>
        <w:tc>
          <w:tcPr>
            <w:tcW w:w="694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1.近2年主营业务收入或净利润平均增长率10%以上 □ ；</w:t>
            </w:r>
          </w:p>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2.资产负债率不高于70%  □ ；</w:t>
            </w:r>
          </w:p>
          <w:p>
            <w:pPr>
              <w:widowControl/>
              <w:textAlignment w:val="center"/>
              <w:rPr>
                <w:rFonts w:ascii="仿宋" w:hAnsi="仿宋" w:eastAsia="仿宋" w:cs="仿宋"/>
                <w:color w:val="000000"/>
                <w:sz w:val="24"/>
                <w:szCs w:val="21"/>
              </w:rPr>
            </w:pPr>
            <w:r>
              <w:rPr>
                <w:rFonts w:ascii="仿宋" w:hAnsi="仿宋" w:eastAsia="仿宋" w:cs="仿宋"/>
                <w:color w:val="000000"/>
                <w:sz w:val="24"/>
                <w:szCs w:val="21"/>
              </w:rPr>
              <w:t>3</w:t>
            </w:r>
            <w:r>
              <w:rPr>
                <w:rFonts w:hint="eastAsia" w:ascii="仿宋" w:hAnsi="仿宋" w:eastAsia="仿宋" w:cs="仿宋"/>
                <w:color w:val="000000"/>
                <w:sz w:val="24"/>
                <w:szCs w:val="21"/>
              </w:rPr>
              <w:t xml:space="preserve">.属于《工业“四基”发展目录》所列重点领域或《中国制造2025浙江行动纲要》明确的11类重点发展产业或杭州市十四五规划中明确发展的重点产业和标志性产业链。 </w:t>
            </w:r>
            <w:r>
              <w:rPr>
                <w:rFonts w:ascii="仿宋" w:hAnsi="仿宋" w:eastAsia="仿宋" w:cs="仿宋"/>
                <w:color w:val="000000"/>
                <w:sz w:val="24"/>
                <w:szCs w:val="21"/>
              </w:rPr>
              <w:t xml:space="preserve"> </w:t>
            </w:r>
            <w:r>
              <w:rPr>
                <w:rFonts w:hint="eastAsia" w:ascii="仿宋" w:hAnsi="仿宋" w:eastAsia="仿宋" w:cs="仿宋"/>
                <w:color w:val="000000"/>
                <w:sz w:val="24"/>
                <w:szCs w:val="21"/>
              </w:rPr>
              <w:t>□；</w:t>
            </w:r>
          </w:p>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4.近2年企业研发经费支出占营业收入比重不低于3%  □；</w:t>
            </w:r>
          </w:p>
          <w:p>
            <w:pPr>
              <w:widowControl/>
              <w:jc w:val="left"/>
              <w:rPr>
                <w:rFonts w:ascii="仿宋" w:hAnsi="仿宋" w:eastAsia="仿宋" w:cs="仿宋"/>
                <w:color w:val="000000"/>
                <w:sz w:val="24"/>
                <w:szCs w:val="21"/>
              </w:rPr>
            </w:pPr>
            <w:r>
              <w:rPr>
                <w:rFonts w:ascii="仿宋" w:hAnsi="仿宋" w:eastAsia="仿宋" w:cs="仿宋"/>
                <w:color w:val="000000"/>
                <w:sz w:val="24"/>
                <w:szCs w:val="21"/>
              </w:rPr>
              <w:t>5</w:t>
            </w:r>
            <w:r>
              <w:rPr>
                <w:rFonts w:hint="eastAsia" w:ascii="仿宋" w:hAnsi="仿宋" w:eastAsia="仿宋" w:cs="仿宋"/>
                <w:color w:val="000000"/>
                <w:sz w:val="24"/>
                <w:szCs w:val="21"/>
              </w:rPr>
              <w:t>.拥有有效发明专利</w:t>
            </w:r>
            <w:r>
              <w:rPr>
                <w:rFonts w:ascii="仿宋" w:hAnsi="仿宋" w:eastAsia="仿宋" w:cs="仿宋"/>
                <w:color w:val="000000"/>
                <w:sz w:val="24"/>
                <w:szCs w:val="21"/>
              </w:rPr>
              <w:t>1</w:t>
            </w:r>
            <w:r>
              <w:rPr>
                <w:rFonts w:hint="eastAsia" w:ascii="仿宋" w:hAnsi="仿宋" w:eastAsia="仿宋" w:cs="仿宋"/>
                <w:color w:val="000000"/>
                <w:sz w:val="24"/>
                <w:szCs w:val="21"/>
              </w:rPr>
              <w:t xml:space="preserve">项以上 </w:t>
            </w:r>
            <w:r>
              <w:rPr>
                <w:rFonts w:ascii="仿宋" w:hAnsi="仿宋" w:eastAsia="仿宋" w:cs="仿宋"/>
                <w:color w:val="000000"/>
                <w:sz w:val="24"/>
                <w:szCs w:val="21"/>
              </w:rPr>
              <w:t xml:space="preserve"> </w:t>
            </w:r>
            <w:r>
              <w:rPr>
                <w:rFonts w:hint="eastAsia" w:ascii="仿宋" w:hAnsi="仿宋" w:eastAsia="仿宋" w:cs="仿宋"/>
                <w:color w:val="000000"/>
                <w:sz w:val="24"/>
                <w:szCs w:val="21"/>
              </w:rPr>
              <w:t>□；</w:t>
            </w:r>
          </w:p>
          <w:p>
            <w:pPr>
              <w:widowControl/>
              <w:jc w:val="left"/>
              <w:rPr>
                <w:rFonts w:ascii="仿宋" w:hAnsi="仿宋" w:eastAsia="仿宋" w:cs="仿宋"/>
                <w:color w:val="000000"/>
                <w:sz w:val="24"/>
                <w:szCs w:val="21"/>
              </w:rPr>
            </w:pPr>
            <w:r>
              <w:rPr>
                <w:rFonts w:ascii="仿宋" w:hAnsi="仿宋" w:eastAsia="仿宋" w:cs="仿宋"/>
                <w:color w:val="000000"/>
                <w:sz w:val="24"/>
                <w:szCs w:val="21"/>
              </w:rPr>
              <w:t>6</w:t>
            </w:r>
            <w:r>
              <w:rPr>
                <w:rFonts w:hint="eastAsia" w:ascii="仿宋" w:hAnsi="仿宋" w:eastAsia="仿宋" w:cs="仿宋"/>
                <w:color w:val="000000"/>
                <w:sz w:val="24"/>
                <w:szCs w:val="21"/>
              </w:rPr>
              <w:t>.研发人员占企业职工总数的比例不低于15%  □ ；</w:t>
            </w:r>
          </w:p>
          <w:p>
            <w:pPr>
              <w:widowControl/>
              <w:jc w:val="left"/>
              <w:rPr>
                <w:rFonts w:ascii="仿宋" w:hAnsi="仿宋" w:eastAsia="仿宋" w:cs="仿宋"/>
                <w:color w:val="000000"/>
                <w:sz w:val="24"/>
                <w:szCs w:val="21"/>
              </w:rPr>
            </w:pPr>
            <w:r>
              <w:rPr>
                <w:rFonts w:ascii="仿宋" w:hAnsi="仿宋" w:eastAsia="仿宋" w:cs="仿宋"/>
                <w:color w:val="000000"/>
                <w:sz w:val="24"/>
                <w:szCs w:val="21"/>
              </w:rPr>
              <w:t>7.</w:t>
            </w:r>
            <w:r>
              <w:rPr>
                <w:rFonts w:hint="eastAsia" w:ascii="仿宋" w:hAnsi="仿宋" w:eastAsia="仿宋" w:cs="仿宋"/>
                <w:color w:val="000000"/>
                <w:sz w:val="24"/>
                <w:szCs w:val="21"/>
              </w:rPr>
              <w:t>主持或参与制（修）定标准 □；</w:t>
            </w:r>
          </w:p>
          <w:p>
            <w:pPr>
              <w:widowControl/>
              <w:jc w:val="left"/>
              <w:rPr>
                <w:rFonts w:ascii="仿宋" w:hAnsi="仿宋" w:eastAsia="仿宋" w:cs="仿宋"/>
                <w:color w:val="000000"/>
                <w:sz w:val="24"/>
                <w:szCs w:val="21"/>
              </w:rPr>
            </w:pPr>
            <w:r>
              <w:rPr>
                <w:rFonts w:ascii="仿宋" w:hAnsi="仿宋" w:eastAsia="仿宋" w:cs="仿宋"/>
                <w:color w:val="000000"/>
                <w:sz w:val="24"/>
                <w:szCs w:val="21"/>
              </w:rPr>
              <w:t>8</w:t>
            </w:r>
            <w:r>
              <w:rPr>
                <w:rFonts w:hint="eastAsia" w:ascii="仿宋" w:hAnsi="仿宋" w:eastAsia="仿宋" w:cs="仿宋"/>
                <w:color w:val="000000"/>
                <w:sz w:val="24"/>
                <w:szCs w:val="21"/>
              </w:rPr>
              <w:t>.取得相关管理体系认证  □ ；</w:t>
            </w:r>
          </w:p>
          <w:p>
            <w:pPr>
              <w:widowControl/>
              <w:jc w:val="left"/>
              <w:rPr>
                <w:rFonts w:ascii="仿宋" w:hAnsi="仿宋" w:eastAsia="仿宋" w:cs="仿宋"/>
                <w:color w:val="000000"/>
                <w:sz w:val="24"/>
                <w:szCs w:val="21"/>
              </w:rPr>
            </w:pPr>
            <w:r>
              <w:rPr>
                <w:rFonts w:ascii="仿宋" w:hAnsi="仿宋" w:eastAsia="仿宋" w:cs="仿宋"/>
                <w:color w:val="000000"/>
                <w:sz w:val="24"/>
                <w:szCs w:val="21"/>
              </w:rPr>
              <w:t>9</w:t>
            </w:r>
            <w:r>
              <w:rPr>
                <w:rFonts w:hint="eastAsia" w:ascii="仿宋" w:hAnsi="仿宋" w:eastAsia="仿宋" w:cs="仿宋"/>
                <w:color w:val="000000"/>
                <w:sz w:val="24"/>
                <w:szCs w:val="21"/>
              </w:rPr>
              <w:t>.产品生产执行国际、国内、行业标准等，或产品通过发达国家</w:t>
            </w:r>
          </w:p>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和地区认证  □ ；</w:t>
            </w:r>
          </w:p>
          <w:p>
            <w:pPr>
              <w:widowControl/>
              <w:jc w:val="left"/>
              <w:rPr>
                <w:rFonts w:ascii="仿宋" w:hAnsi="仿宋" w:eastAsia="仿宋" w:cs="仿宋"/>
                <w:color w:val="000000"/>
                <w:sz w:val="24"/>
                <w:szCs w:val="21"/>
              </w:rPr>
            </w:pPr>
            <w:r>
              <w:rPr>
                <w:rFonts w:ascii="仿宋" w:hAnsi="仿宋" w:eastAsia="仿宋" w:cs="仿宋"/>
                <w:color w:val="000000"/>
                <w:sz w:val="24"/>
                <w:szCs w:val="21"/>
              </w:rPr>
              <w:t>10</w:t>
            </w:r>
            <w:r>
              <w:rPr>
                <w:rFonts w:hint="eastAsia" w:ascii="仿宋" w:hAnsi="仿宋" w:eastAsia="仿宋" w:cs="仿宋"/>
                <w:color w:val="000000"/>
                <w:sz w:val="24"/>
                <w:szCs w:val="21"/>
              </w:rPr>
              <w:t>.拥有自主品牌  □ ；</w:t>
            </w:r>
          </w:p>
          <w:p>
            <w:pPr>
              <w:widowControl/>
              <w:jc w:val="left"/>
              <w:rPr>
                <w:rFonts w:ascii="仿宋" w:hAnsi="仿宋" w:eastAsia="仿宋" w:cs="仿宋"/>
                <w:color w:val="000000"/>
                <w:sz w:val="24"/>
                <w:szCs w:val="21"/>
              </w:rPr>
            </w:pPr>
            <w:r>
              <w:rPr>
                <w:rFonts w:hint="eastAsia" w:ascii="仿宋" w:hAnsi="仿宋" w:eastAsia="仿宋" w:cs="仿宋"/>
                <w:color w:val="000000"/>
                <w:sz w:val="24"/>
                <w:szCs w:val="21"/>
              </w:rPr>
              <w:t>1</w:t>
            </w:r>
            <w:r>
              <w:rPr>
                <w:rFonts w:ascii="仿宋" w:hAnsi="仿宋" w:eastAsia="仿宋" w:cs="仿宋"/>
                <w:color w:val="000000"/>
                <w:sz w:val="24"/>
                <w:szCs w:val="21"/>
              </w:rPr>
              <w:t>1</w:t>
            </w:r>
            <w:r>
              <w:rPr>
                <w:rFonts w:hint="eastAsia" w:ascii="仿宋" w:hAnsi="仿宋" w:eastAsia="仿宋" w:cs="仿宋"/>
                <w:color w:val="000000"/>
                <w:sz w:val="24"/>
                <w:szCs w:val="21"/>
              </w:rPr>
              <w:t>.至少1项核心业务采用信息系统支撑  □ 。</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44852"/>
    <w:rsid w:val="21D44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sz w:val="32"/>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1一"/>
    <w:basedOn w:val="1"/>
    <w:qFormat/>
    <w:uiPriority w:val="0"/>
    <w:pPr>
      <w:spacing w:line="540" w:lineRule="exact"/>
      <w:ind w:firstLine="640" w:firstLineChars="200"/>
    </w:pPr>
    <w:rPr>
      <w:rFonts w:ascii="黑体" w:hAnsi="黑体" w:eastAsia="黑体"/>
      <w:kern w:val="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2021-04-18T23:40:00Z</dcterms:created>
  <dc:creator>上帝的宝贝</dc:creator>
  <cp:lastModifiedBy>上帝的宝贝</cp:lastModifiedBy>
  <dcterms:modified xsi:type="dcterms:W3CDTF">2021-04-18T23:40:27Z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FE5D33C158DF46D7A395C69AEC9DB693</vt:lpwstr>
  </property>
</Properties>
</file>