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关于《国家（杭州）新型互联网交换中心补贴方案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实施细则》的征求意见汇总</w:t>
      </w:r>
    </w:p>
    <w:bookmarkEnd w:id="0"/>
    <w:p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ind w:firstLine="640" w:firstLineChars="200"/>
        <w:jc w:val="both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2020年12月16日，市经信局信基处向各区、县（市）征求《国家（杭州）新型互联网交换中心补贴方案实施细则（送审稿）》意见，各区、县（市）反馈意见及拟采纳情况如下：</w:t>
      </w:r>
    </w:p>
    <w:tbl>
      <w:tblPr>
        <w:tblStyle w:val="3"/>
        <w:tblpPr w:leftFromText="181" w:rightFromText="181" w:vertAnchor="text" w:horzAnchor="page" w:tblpXSpec="center" w:tblpY="1"/>
        <w:tblOverlap w:val="never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4357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</w:tcPr>
          <w:p>
            <w:pPr>
              <w:widowControl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反</w:t>
            </w:r>
            <w:r>
              <w:rPr>
                <w:rFonts w:ascii="黑体" w:hAnsi="黑体" w:eastAsia="黑体"/>
                <w:sz w:val="28"/>
                <w:szCs w:val="28"/>
              </w:rPr>
              <w:t>馈单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</w:tc>
        <w:tc>
          <w:tcPr>
            <w:tcW w:w="4357" w:type="dxa"/>
          </w:tcPr>
          <w:p>
            <w:pPr>
              <w:widowControl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反</w:t>
            </w:r>
            <w:r>
              <w:rPr>
                <w:rFonts w:ascii="黑体" w:hAnsi="黑体" w:eastAsia="黑体"/>
                <w:sz w:val="28"/>
                <w:szCs w:val="28"/>
              </w:rPr>
              <w:t>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内容</w:t>
            </w:r>
          </w:p>
        </w:tc>
        <w:tc>
          <w:tcPr>
            <w:tcW w:w="3571" w:type="dxa"/>
          </w:tcPr>
          <w:p>
            <w:pPr>
              <w:widowControl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拟采</w:t>
            </w:r>
            <w:r>
              <w:rPr>
                <w:rFonts w:ascii="黑体" w:hAnsi="黑体" w:eastAsia="黑体"/>
                <w:sz w:val="28"/>
                <w:szCs w:val="28"/>
              </w:rPr>
              <w:t>纳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拱墅区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拱墅区总额分享上解比例偏高，根据财政与事权相统一的原则，建议降低拱墅区企业补贴资金承担比例。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意见不采纳。资金的承担比例已充分考虑到了市、区、县（市）的实际情况，补助资金由市和各区、县（市）两级财政按1:1承担。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西湖区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一、传输线路租赁补贴，对单个企业补贴上限没有设置退坡机制，建议考虑设置。</w:t>
            </w:r>
          </w:p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二、对申报传输线路租赁补贴与BGP流量补贴，企业是否可以兼报兼得，希望在方案中予以明确。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第一条意见采纳。补贴方案中的传输线路租赁补贴已经设置了单个企业的补贴上限，并采取了退坡机制。</w:t>
            </w:r>
          </w:p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第二条意见采纳。补贴方案中已经明确企业可以同时申报传输线路租赁补贴与BGP流量补贴。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下城区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一、建议国家（杭州）新型互联网交换中心能耗指标不纳入区能耗指标。</w:t>
            </w:r>
          </w:p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二、若补贴方案中涉及区级财政配套资金，建议在第三章资助标准中，增加“区级配套资金以区地方贡献为上限”的内容。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第一条意见采纳。国家（杭州）新型互联网交换中心能耗指标将不纳入区能耗指标。</w:t>
            </w:r>
          </w:p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第二条意见不采纳。资金的承担比例已充分考虑到了市、区、县（市）的实际情况补助资金由市和各区、县（市）两级财政按1:1承担。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江干区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上城区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滨江区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萧山区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余杭区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临安区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富阳区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建德市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桐庐县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淳安县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pStyle w:val="6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钱塘新区</w:t>
            </w:r>
          </w:p>
        </w:tc>
        <w:tc>
          <w:tcPr>
            <w:tcW w:w="4357" w:type="dxa"/>
            <w:vAlign w:val="center"/>
          </w:tcPr>
          <w:p>
            <w:pPr>
              <w:widowControl w:val="0"/>
              <w:ind w:firstLine="480" w:firstLineChars="200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无意见</w:t>
            </w:r>
          </w:p>
        </w:tc>
        <w:tc>
          <w:tcPr>
            <w:tcW w:w="3571" w:type="dxa"/>
          </w:tcPr>
          <w:p>
            <w:pPr>
              <w:widowControl w:val="0"/>
              <w:ind w:firstLine="480" w:firstLineChars="200"/>
              <w:jc w:val="both"/>
              <w:rPr>
                <w:rFonts w:ascii="仿宋" w:hAnsi="仿宋" w:eastAsia="仿宋" w:cs="仿宋"/>
                <w:szCs w:val="20"/>
              </w:rPr>
            </w:pPr>
          </w:p>
        </w:tc>
      </w:tr>
    </w:tbl>
    <w:p>
      <w:pPr>
        <w:jc w:val="both"/>
        <w:rPr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2021年1月15日至2月15日，按规范性文件要求市经信局信基处在市政府网站及市经信局网站（网址</w:t>
      </w:r>
      <w:r>
        <w:rPr>
          <w:rFonts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"http://www.hangzhou.gov.cn/art/2021/1/15/art_1229063429_3835618.html" \t "http://www.hangzhou.gov.cn/art/2021/4/20/_blank"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t>http://www.hangzhou.gov.cn/art/2021/1/15/art_1229063429_3835618.html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  <w:lang w:eastAsia="zh-CN"/>
        </w:rPr>
        <w:t>；</w:t>
      </w:r>
      <w:r>
        <w:rPr>
          <w:rFonts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"http://jxj.hangzhou.gov.cn/art/2021/1/15/art_1229252265_3835603.html" \t "http://www.hangzhou.gov.cn/art/2021/4/20/_blank"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t>http://jxj.hangzhou.gov.cn/art/2021/1/15/art_1229252265_3835603.html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187E6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）发布公告，向社会公开征求《国家（杭州）新型互联网交换中心补贴方案实施细则（送审稿）》意见，公示期内期间无反馈意见。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7"/>
    <w:rsid w:val="006479F7"/>
    <w:rsid w:val="006D6386"/>
    <w:rsid w:val="00ED03AD"/>
    <w:rsid w:val="54575817"/>
    <w:rsid w:val="646B0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758</Characters>
  <Lines>6</Lines>
  <Paragraphs>1</Paragraphs>
  <TotalTime>52</TotalTime>
  <ScaleCrop>false</ScaleCrop>
  <LinksUpToDate>false</LinksUpToDate>
  <CharactersWithSpaces>889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2021-04-20T08:03:00Z</dcterms:created>
  <dc:creator>霍万里</dc:creator>
  <cp:lastModifiedBy>上帝的宝贝</cp:lastModifiedBy>
  <dcterms:modified xsi:type="dcterms:W3CDTF">2021-04-21T09:43:26Z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1A0A5668787C473D905A53F3B9DFC14A</vt:lpwstr>
  </property>
</Properties>
</file>