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beforeLines="0" w:afterLines="0" w:line="240" w:lineRule="auto"/>
        <w:jc w:val="both"/>
        <w:rPr>
          <w:rFonts w:hint="default" w:ascii="宋体" w:hAnsi="宋体" w:eastAsia="宋体" w:cs="Times New Roman"/>
          <w:b w:val="0"/>
          <w:bCs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spacing w:val="-14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-14"/>
          <w:sz w:val="44"/>
          <w:szCs w:val="44"/>
          <w:lang w:val="en-US" w:eastAsia="zh-CN"/>
        </w:rPr>
        <w:t>2023年杭州市生物医药产业支持创新优质药械应用项目汇总表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 xml:space="preserve">区、县(市)经信部门（盖章）：  </w:t>
      </w:r>
      <w:r>
        <w:rPr>
          <w:rFonts w:hint="eastAsia" w:ascii="楷体_GB2312" w:hAnsi="楷体_GB2312" w:eastAsia="楷体_GB2312" w:cs="楷体_GB2312"/>
          <w:color w:val="auto"/>
          <w:sz w:val="24"/>
        </w:rPr>
        <w:t xml:space="preserve">     </w:t>
      </w: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 xml:space="preserve">      区、县(市)卫健部门（盖章）：</w:t>
      </w:r>
      <w:r>
        <w:rPr>
          <w:rFonts w:hint="eastAsia" w:ascii="楷体_GB2312" w:hAnsi="楷体_GB2312" w:eastAsia="楷体_GB2312" w:cs="楷体_GB2312"/>
          <w:color w:val="auto"/>
          <w:sz w:val="24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 xml:space="preserve">          市卫健委（盖章）：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>填报人：          联系电话：</w:t>
      </w:r>
    </w:p>
    <w:tbl>
      <w:tblPr>
        <w:tblStyle w:val="4"/>
        <w:tblW w:w="13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89"/>
        <w:gridCol w:w="2668"/>
        <w:gridCol w:w="2291"/>
        <w:gridCol w:w="1691"/>
        <w:gridCol w:w="1295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医疗机构名称</w:t>
            </w:r>
          </w:p>
        </w:tc>
        <w:tc>
          <w:tcPr>
            <w:tcW w:w="2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申报周期内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采购首台套产品合计金额（万元）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申报周期内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实际使用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创新优质杭产药械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合计金额（万元）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医疗机构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联系方式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申报类型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lang w:eastAsia="zh-CN"/>
        </w:rPr>
        <w:t>附：医疗机构采购首台套，使用创新优质杭产药械数量金额明细清单</w:t>
      </w:r>
      <w:bookmarkStart w:id="0" w:name="_GoBack"/>
      <w:bookmarkEnd w:id="0"/>
    </w:p>
    <w:p/>
    <w:p/>
    <w:sectPr>
      <w:footerReference r:id="rId3" w:type="default"/>
      <w:pgSz w:w="16838" w:h="11906" w:orient="landscape"/>
      <w:pgMar w:top="1587" w:right="2098" w:bottom="1474" w:left="2098" w:header="851" w:footer="1701" w:gutter="0"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9Z31A0QAAAAU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1D176244"/>
    <w:rsid w:val="1D1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2023-08-24T07:56:00Z</dcterms:created>
  <dc:creator>汪株燚</dc:creator>
  <cp:lastModifiedBy>汪株燚</cp:lastModifiedBy>
  <dcterms:modified xsi:type="dcterms:W3CDTF">2023-08-24T07:57:03Z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1F3423570B5F41C28498219AEE37A639_11</vt:lpwstr>
  </property>
</Properties>
</file>