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附件4</w:t>
      </w:r>
    </w:p>
    <w:p>
      <w:pPr>
        <w:jc w:val="center"/>
        <w:rPr>
          <w:rFonts w:hint="eastAsia" w:ascii="宋体" w:hAnsi="宋体" w:eastAsia="宋体" w:cs="宋体"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Cs/>
          <w:sz w:val="44"/>
          <w:szCs w:val="44"/>
        </w:rPr>
        <w:t>纸质材料受理部门和报送清单</w:t>
      </w:r>
      <w:bookmarkEnd w:id="0"/>
    </w:p>
    <w:p>
      <w:pPr>
        <w:jc w:val="center"/>
        <w:rPr>
          <w:rFonts w:ascii="Times New Roman" w:hAnsi="Times New Roman" w:eastAsia="宋体" w:cs="Times New Roman"/>
          <w:bCs/>
          <w:sz w:val="44"/>
          <w:szCs w:val="44"/>
        </w:rPr>
      </w:pPr>
    </w:p>
    <w:p>
      <w:pPr>
        <w:numPr>
          <w:ilvl w:val="0"/>
          <w:numId w:val="1"/>
        </w:numPr>
        <w:ind w:left="1360" w:hanging="72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纸质材料受理部门</w:t>
      </w:r>
    </w:p>
    <w:p>
      <w:pPr>
        <w:ind w:left="1360"/>
        <w:rPr>
          <w:rFonts w:ascii="Times New Roman" w:hAnsi="Times New Roman" w:eastAsia="黑体" w:cs="Times New Roman"/>
          <w:kern w:val="0"/>
          <w:sz w:val="32"/>
          <w:szCs w:val="3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7"/>
        <w:gridCol w:w="1338"/>
        <w:gridCol w:w="3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单      位</w:t>
            </w: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电  话</w:t>
            </w:r>
          </w:p>
        </w:tc>
        <w:tc>
          <w:tcPr>
            <w:tcW w:w="3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地      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上城区发展改革和经济信息化局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87807800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上城区望潮路77号东楼1610室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拱墅区发展改革和经济信息化局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 xml:space="preserve">28910876 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拱墅区文晖路1号14楼1408室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西湖区发展改革和经济信息化局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87975924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西湖区文三西路18号财政局大楼711室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高新区（滨江）区经信局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81187996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滨江区政府1238室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萧山区经济和信息化局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82396991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萧山区金城路水务大厦C座603室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余杭区人社局人才开发科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89391129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余杭区五常街道五常大道166号427办公室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临平区人社局人才开发科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86106880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临平区临平南大街265号市民之家7楼721办公室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钱塘区经信科技局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82987316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钱塘区钱塘中心青六北路499号三号楼209室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富阳区经济和信息化局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63323592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富阳区鹳山路18号309室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临安区经济和信息化局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61073795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临安区临天二弄188号科技大楼一楼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桐庐县经济和信息化局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64212660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桐庐县迎春南路298号县政府综合楼二楼213室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淳安县生态产业和商务局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64812332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淳安县千岛湖镇环湖北路651号2号楼908室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建德市经济和信息化局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64782033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建德市新安江街道新安东路553号5楼506室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市直部门</w:t>
      </w:r>
      <w:r>
        <w:rPr>
          <w:rFonts w:ascii="Times New Roman" w:hAnsi="Times New Roman" w:eastAsia="仿宋_GB2312" w:cs="Times New Roman"/>
          <w:sz w:val="32"/>
          <w:szCs w:val="32"/>
        </w:rPr>
        <w:t>所属企事业单位，报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市直部门</w:t>
      </w:r>
      <w:r>
        <w:rPr>
          <w:rFonts w:ascii="Times New Roman" w:hAnsi="Times New Roman" w:eastAsia="仿宋_GB2312" w:cs="Times New Roman"/>
          <w:sz w:val="32"/>
          <w:szCs w:val="32"/>
        </w:rPr>
        <w:t>审核盖章后，报高评委办公室。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二、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各区、县（市）</w:t>
      </w:r>
      <w:r>
        <w:rPr>
          <w:rFonts w:hint="eastAsia" w:ascii="Times New Roman" w:hAnsi="Times New Roman" w:eastAsia="黑体" w:cs="Times New Roman"/>
          <w:spacing w:val="-6"/>
          <w:kern w:val="0"/>
          <w:sz w:val="32"/>
          <w:szCs w:val="32"/>
        </w:rPr>
        <w:t>和市直主管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受理部门需报送纸质材料清单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trike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1.《申报专业技术职务资格评审委托书》1份。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2.《申报评审高级工程师资格人员花名册》1份，从浙江省专业技术任职资格申报与评审管理平台导出打印并盖章。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3.带有“浙江省专业技术任职资格申报与评审管理平台”水印的《专业技术职务任职资格评审表》一式3份，评审表排序应与花名册序号保持一致。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4.《破格推荐高级专业技术职务任职资格审批表》一式2份（破格申报人员提供）。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21E6F"/>
    <w:rsid w:val="2B6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2021-08-09T09:21:00Z</dcterms:created>
  <dc:creator>触风看雨</dc:creator>
  <cp:lastModifiedBy>触风看雨</cp:lastModifiedBy>
  <dcterms:modified xsi:type="dcterms:W3CDTF">2021-08-09T09:21:57Z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5719DD1CD2F44B47A14585EC4FA434D9</vt:lpwstr>
  </property>
</Properties>
</file>