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高级工程师资格申报条件</w:t>
      </w:r>
    </w:p>
    <w:p>
      <w:pPr>
        <w:spacing w:line="520" w:lineRule="exact"/>
        <w:jc w:val="center"/>
        <w:rPr>
          <w:rFonts w:ascii="Times New Roman" w:hAnsi="Times New Roman" w:eastAsia="方正小标宋简体" w:cs="Times New Roman"/>
          <w:kern w:val="0"/>
          <w:sz w:val="44"/>
          <w:szCs w:val="44"/>
        </w:rPr>
      </w:pP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一、专业条件</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担任高级工程师职务，应具备下列部门之一的条件：</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4.能够</w:t>
      </w:r>
      <w:r>
        <w:rPr>
          <w:rFonts w:ascii="Times New Roman" w:hAnsi="Times New Roman" w:eastAsia="仿宋_GB2312" w:cs="Times New Roman"/>
          <w:kern w:val="0"/>
          <w:sz w:val="32"/>
          <w:szCs w:val="32"/>
        </w:rPr>
        <w:t>指导工程师的工作和学习。</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w:t>
      </w:r>
      <w:r>
        <w:rPr>
          <w:rFonts w:ascii="Times New Roman" w:hAnsi="Times New Roman" w:eastAsia="仿宋_GB2312" w:cs="Times New Roman"/>
          <w:kern w:val="0"/>
          <w:sz w:val="32"/>
          <w:szCs w:val="32"/>
        </w:rPr>
        <w:t>有丰富的工程技术研究、设计实践经验，取得过具有实用价值或显著社会经济效益的研究、设计成果，或发表过有较高水平的技术著作、论文。</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cs="Times New Roman"/>
          <w:kern w:val="0"/>
          <w:sz w:val="32"/>
          <w:szCs w:val="32"/>
        </w:rPr>
        <w:t>能够指导工程师、研究生的工作和学习。</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二、学历、资历要求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3.取</w:t>
      </w:r>
      <w:r>
        <w:rPr>
          <w:rFonts w:ascii="Times New Roman" w:hAnsi="Times New Roman" w:eastAsia="仿宋_GB2312" w:cs="Times New Roman"/>
          <w:kern w:val="0"/>
          <w:sz w:val="32"/>
          <w:szCs w:val="32"/>
        </w:rPr>
        <w:t>得国家工程技术类相应执业资格，按规定聘任工程技术相应中级专业技术职务，担任相应中级职务</w:t>
      </w:r>
      <w:r>
        <w:rPr>
          <w:rFonts w:hint="eastAsia" w:ascii="仿宋_GB2312" w:hAnsi="仿宋_GB2312" w:eastAsia="仿宋_GB2312" w:cs="仿宋_GB2312"/>
          <w:kern w:val="0"/>
          <w:sz w:val="32"/>
          <w:szCs w:val="32"/>
        </w:rPr>
        <w:t>5</w:t>
      </w:r>
      <w:r>
        <w:rPr>
          <w:rFonts w:ascii="Times New Roman" w:hAnsi="Times New Roman" w:eastAsia="仿宋_GB2312" w:cs="Times New Roman"/>
          <w:kern w:val="0"/>
          <w:sz w:val="32"/>
          <w:szCs w:val="32"/>
        </w:rPr>
        <w:t>年以上，并符合其他申报条件的。</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（二）高技能人才申报</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1.</w:t>
      </w:r>
      <w:r>
        <w:rPr>
          <w:rFonts w:ascii="Times New Roman" w:hAnsi="Times New Roman" w:eastAsia="仿宋_GB2312" w:cs="Times New Roman"/>
          <w:kern w:val="0"/>
          <w:sz w:val="32"/>
          <w:szCs w:val="32"/>
        </w:rPr>
        <w:t>根据《浙江省人力资源和社会保障厅转发人力资源社会保障部</w:t>
      </w:r>
      <w:r>
        <w:rPr>
          <w:rFonts w:hint="eastAsia" w:ascii="仿宋_GB2312" w:hAnsi="仿宋_GB2312" w:eastAsia="仿宋_GB2312" w:cs="仿宋_GB2312"/>
          <w:kern w:val="0"/>
          <w:sz w:val="32"/>
          <w:szCs w:val="32"/>
        </w:rPr>
        <w:t>&lt;</w:t>
      </w:r>
      <w:r>
        <w:rPr>
          <w:rFonts w:ascii="Times New Roman" w:hAnsi="Times New Roman" w:eastAsia="仿宋_GB2312" w:cs="Times New Roman"/>
          <w:kern w:val="0"/>
          <w:sz w:val="32"/>
          <w:szCs w:val="32"/>
        </w:rPr>
        <w:t>关于在工程技术领域实现高技能人才与工程技术人才职业发展贯通的意见（试行）</w:t>
      </w:r>
      <w:r>
        <w:rPr>
          <w:rFonts w:hint="eastAsia" w:ascii="仿宋_GB2312" w:hAnsi="仿宋_GB2312" w:eastAsia="仿宋_GB2312" w:cs="仿宋_GB2312"/>
          <w:kern w:val="0"/>
          <w:sz w:val="32"/>
          <w:szCs w:val="32"/>
        </w:rPr>
        <w:t>&gt;的通知》（浙人社发〔2019〕31</w:t>
      </w:r>
      <w:r>
        <w:rPr>
          <w:rFonts w:ascii="Times New Roman" w:hAnsi="Times New Roman" w:eastAsia="仿宋_GB2312" w:cs="Times New Roman"/>
          <w:kern w:val="0"/>
          <w:sz w:val="32"/>
          <w:szCs w:val="32"/>
        </w:rPr>
        <w:t>号）文件精神，</w:t>
      </w:r>
      <w:r>
        <w:rPr>
          <w:rFonts w:ascii="Times New Roman" w:hAnsi="Times New Roman" w:eastAsia="仿宋_GB2312" w:cs="Times New Roman"/>
          <w:sz w:val="32"/>
          <w:szCs w:val="32"/>
        </w:rPr>
        <w:t>获得高级技师职业资格或职业技能等级</w:t>
      </w:r>
      <w:r>
        <w:rPr>
          <w:rFonts w:hint="eastAsia" w:ascii="Times New Roman" w:hAnsi="Times New Roman" w:eastAsia="仿宋_GB2312" w:cs="Times New Roman"/>
          <w:sz w:val="32"/>
          <w:szCs w:val="32"/>
          <w:lang w:eastAsia="zh-CN"/>
        </w:rPr>
        <w:t>（一级）</w:t>
      </w:r>
      <w:r>
        <w:rPr>
          <w:rFonts w:ascii="Times New Roman" w:hAnsi="Times New Roman" w:eastAsia="仿宋_GB2312" w:cs="Times New Roman"/>
          <w:sz w:val="32"/>
          <w:szCs w:val="32"/>
        </w:rPr>
        <w:t>后从事技术技能工作满</w:t>
      </w:r>
      <w:r>
        <w:rPr>
          <w:rFonts w:hint="eastAsia" w:ascii="仿宋_GB2312" w:hAnsi="仿宋_GB2312" w:eastAsia="仿宋_GB2312" w:cs="仿宋_GB2312"/>
          <w:sz w:val="32"/>
          <w:szCs w:val="32"/>
        </w:rPr>
        <w:t>4</w:t>
      </w:r>
      <w:r>
        <w:rPr>
          <w:rFonts w:ascii="Times New Roman" w:hAnsi="Times New Roman" w:eastAsia="仿宋_GB2312" w:cs="Times New Roman"/>
          <w:sz w:val="32"/>
          <w:szCs w:val="32"/>
        </w:rPr>
        <w:t>年，可申报评审相应专业高级工程师。钱江技能大奖获得者、国家级技能大师工作室领办人、世界技能大赛银牌铜牌获得者，省“百千万”高技能领军人才培养工程中入选“杰出技能人才”的人员，可直接申报高级工程师。</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2.</w:t>
      </w:r>
      <w:r>
        <w:rPr>
          <w:rFonts w:ascii="Times New Roman" w:hAnsi="Times New Roman" w:eastAsia="仿宋_GB2312" w:cs="Times New Roman"/>
          <w:kern w:val="0"/>
          <w:sz w:val="32"/>
          <w:szCs w:val="32"/>
        </w:rPr>
        <w:t>博士后科研流动站、工作站出站人员，在站期间能够圆满完成研究课题，并取得科研成果的，可申请认定相应的高级（副高）专业技术资格。</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5.主持大中</w:t>
      </w:r>
      <w:r>
        <w:rPr>
          <w:rFonts w:ascii="Times New Roman" w:hAnsi="Times New Roman" w:eastAsia="仿宋_GB2312" w:cs="Times New Roman"/>
          <w:kern w:val="0"/>
          <w:sz w:val="32"/>
          <w:szCs w:val="32"/>
        </w:rPr>
        <w:t>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三、考核要求</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近三年年度考核合格（含）以上。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四、继续教育学分要求</w:t>
      </w:r>
    </w:p>
    <w:p>
      <w:pPr>
        <w:spacing w:line="520" w:lineRule="exact"/>
        <w:ind w:firstLine="640" w:firstLineChars="200"/>
        <w:jc w:val="both"/>
        <w:rPr>
          <w:rFonts w:hint="eastAsia" w:ascii="仿宋_GB2312" w:hAnsi="仿宋_GB2312" w:eastAsia="仿宋_GB2312" w:cs="仿宋_GB2312"/>
          <w:kern w:val="0"/>
          <w:sz w:val="32"/>
          <w:szCs w:val="32"/>
        </w:rPr>
      </w:pPr>
      <w:r>
        <w:rPr>
          <w:rFonts w:ascii="Times New Roman" w:hAnsi="Times New Roman" w:eastAsia="仿宋_GB2312" w:cs="Times New Roman"/>
          <w:kern w:val="0"/>
          <w:sz w:val="32"/>
          <w:szCs w:val="32"/>
        </w:rPr>
        <w:t>根据浙经信人事</w:t>
      </w:r>
      <w:r>
        <w:rPr>
          <w:rFonts w:hint="eastAsia" w:ascii="仿宋_GB2312" w:hAnsi="仿宋_GB2312" w:eastAsia="仿宋_GB2312" w:cs="仿宋_GB2312"/>
          <w:kern w:val="0"/>
          <w:sz w:val="32"/>
          <w:szCs w:val="32"/>
        </w:rPr>
        <w:t>〔2018〕99</w:t>
      </w:r>
      <w:r>
        <w:rPr>
          <w:rFonts w:ascii="Times New Roman" w:hAnsi="Times New Roman" w:eastAsia="仿宋_GB2312" w:cs="Times New Roman"/>
          <w:kern w:val="0"/>
          <w:sz w:val="32"/>
          <w:szCs w:val="32"/>
        </w:rPr>
        <w:t>号文件精神，自</w:t>
      </w:r>
      <w:r>
        <w:rPr>
          <w:rFonts w:hint="eastAsia" w:ascii="仿宋_GB2312" w:hAnsi="仿宋_GB2312" w:eastAsia="仿宋_GB2312" w:cs="仿宋_GB2312"/>
          <w:kern w:val="0"/>
          <w:sz w:val="32"/>
          <w:szCs w:val="32"/>
        </w:rPr>
        <w:t>2018年起继续教育学习情况作为职称申报的必备条件。申报人员每年度参加继续教育不得少于90学时，其中专业科目不少于60学时，行业公需和一般公需科目不少于18学时。考虑到疫情影响，今年参加工业和信息化主管部门提供（或认可）的网络课件学习，按照课件标定的学时数进行认定，不受每年度最多登记36学时的限制，其他继续教育途径学时认定办法仍按照浙经信人事〔2018〕99号文件执行。没有完成年度继续教育规定学时的人员，不得申报（2018、2019、2020、2021年四年共360学时，平均90学时）。</w:t>
      </w:r>
      <w:r>
        <w:rPr>
          <w:rFonts w:ascii="Times New Roman" w:hAnsi="Times New Roman" w:eastAsia="仿宋_GB2312" w:cs="Times New Roman"/>
          <w:kern w:val="0"/>
          <w:sz w:val="32"/>
          <w:szCs w:val="32"/>
        </w:rPr>
        <w:t>申报人员可登</w:t>
      </w:r>
      <w:r>
        <w:rPr>
          <w:rFonts w:hint="eastAsia" w:ascii="Times New Roman" w:hAnsi="Times New Roman" w:eastAsia="仿宋_GB2312" w:cs="Times New Roman"/>
          <w:kern w:val="0"/>
          <w:sz w:val="32"/>
          <w:szCs w:val="32"/>
          <w:lang w:val="en-US" w:eastAsia="zh-CN"/>
        </w:rPr>
        <w:t>录</w:t>
      </w:r>
      <w:r>
        <w:rPr>
          <w:rFonts w:ascii="Times New Roman" w:hAnsi="Times New Roman" w:eastAsia="仿宋_GB2312" w:cs="Times New Roman"/>
          <w:kern w:val="0"/>
          <w:sz w:val="32"/>
          <w:szCs w:val="32"/>
        </w:rPr>
        <w:t>“浙江省工业和信息化领域专业技术人员继续教育学时登记管理系统”</w:t>
      </w:r>
      <w:r>
        <w:rPr>
          <w:rFonts w:hint="eastAsia" w:ascii="仿宋_GB2312" w:hAnsi="仿宋_GB2312" w:eastAsia="仿宋_GB2312" w:cs="仿宋_GB2312"/>
          <w:kern w:val="0"/>
          <w:sz w:val="32"/>
          <w:szCs w:val="32"/>
        </w:rPr>
        <w:t>（http://jxjy.jxt.zj.gov.cn/iext/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zgProject/index.jsp）或“杭州市专业技术人员学习新干线系统”</w:t>
      </w:r>
      <w:bookmarkStart w:id="0" w:name="_GoBack"/>
      <w:bookmarkEnd w:id="0"/>
      <w:r>
        <w:rPr>
          <w:rFonts w:hint="eastAsia" w:ascii="仿宋_GB2312" w:hAnsi="仿宋_GB2312" w:eastAsia="仿宋_GB2312" w:cs="仿宋_GB2312"/>
          <w:kern w:val="0"/>
          <w:sz w:val="32"/>
          <w:szCs w:val="32"/>
        </w:rPr>
        <w:t>进行学习及学时登记。</w:t>
      </w:r>
    </w:p>
    <w:p>
      <w:r>
        <w:rPr>
          <w:rFonts w:ascii="Times New Roman" w:hAnsi="Times New Roman" w:eastAsia="黑体" w:cs="Times New Roman"/>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C4B09C-F841-415A-974C-EB903B83D4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351FF80-8AAE-4302-A065-6D5AA01D1D07}"/>
  </w:font>
  <w:font w:name="方正小标宋简体">
    <w:panose1 w:val="02000000000000000000"/>
    <w:charset w:val="86"/>
    <w:family w:val="script"/>
    <w:pitch w:val="default"/>
    <w:sig w:usb0="00000001" w:usb1="08000000" w:usb2="00000000" w:usb3="00000000" w:csb0="00040000" w:csb1="00000000"/>
    <w:embedRegular r:id="rId3" w:fontKey="{6D0DE1E1-13D5-476B-AA56-C33B88A08CB7}"/>
  </w:font>
  <w:font w:name="仿宋_GB2312">
    <w:altName w:val="仿宋"/>
    <w:panose1 w:val="02010609030101010101"/>
    <w:charset w:val="86"/>
    <w:family w:val="modern"/>
    <w:pitch w:val="default"/>
    <w:sig w:usb0="00000000" w:usb1="00000000" w:usb2="00000000" w:usb3="00000000" w:csb0="00040000" w:csb1="00000000"/>
    <w:embedRegular r:id="rId4" w:fontKey="{D5EE79DE-349E-4562-BDD1-E1C641449D6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5" w:fontKey="{416A5823-9C80-43E4-A6B8-7B4CC4803724}"/>
  </w:font>
  <w:font w:name="楷体_GB2312">
    <w:altName w:val="楷体"/>
    <w:panose1 w:val="02010609030101010101"/>
    <w:charset w:val="86"/>
    <w:family w:val="modern"/>
    <w:pitch w:val="default"/>
    <w:sig w:usb0="00000000" w:usb1="00000000" w:usb2="00000000" w:usb3="00000000" w:csb0="00040000" w:csb1="00000000"/>
    <w:embedRegular r:id="rId6" w:fontKey="{EF10C0A8-005E-4EC8-848E-481A333781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0926098B"/>
    <w:rsid w:val="0926098B"/>
    <w:rsid w:val="486B010C"/>
    <w:rsid w:val="6CCA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2002</Words>
  <Characters>2128</Characters>
  <Lines>0</Lines>
  <Paragraphs>0</Paragraphs>
  <TotalTime>4</TotalTime>
  <ScaleCrop>false</ScaleCrop>
  <LinksUpToDate>false</LinksUpToDate>
  <CharactersWithSpaces>2129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2021-08-09T09:19:00Z</dcterms:created>
  <dc:creator>触风看雨</dc:creator>
  <cp:lastModifiedBy>上帝的宝贝</cp:lastModifiedBy>
  <dcterms:modified xsi:type="dcterms:W3CDTF">2022-09-26T07:24:35Z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B70D7258941E457D90CE6266B4CDDAF0</vt:lpwstr>
  </property>
</Properties>
</file>